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7D3D98" w14:textId="77777777" w:rsidR="00D32AFE" w:rsidRDefault="00D32AFE">
      <w:pPr>
        <w:keepNext/>
        <w:pBdr>
          <w:top w:val="nil"/>
          <w:left w:val="nil"/>
          <w:bottom w:val="nil"/>
          <w:right w:val="nil"/>
          <w:between w:val="nil"/>
        </w:pBdr>
        <w:spacing w:after="240" w:line="240" w:lineRule="auto"/>
        <w:rPr>
          <w:rFonts w:ascii="Arial" w:eastAsia="Arial" w:hAnsi="Arial" w:cs="Arial"/>
          <w:b/>
          <w:color w:val="000000"/>
          <w:sz w:val="36"/>
          <w:szCs w:val="36"/>
        </w:rPr>
      </w:pPr>
    </w:p>
    <w:p w14:paraId="69B0B4ED" w14:textId="77777777" w:rsidR="00D32AFE" w:rsidRDefault="00145B13">
      <w:pPr>
        <w:keepNext/>
        <w:pBdr>
          <w:top w:val="nil"/>
          <w:left w:val="nil"/>
          <w:bottom w:val="nil"/>
          <w:right w:val="nil"/>
          <w:between w:val="nil"/>
        </w:pBdr>
        <w:spacing w:after="240" w:line="240" w:lineRule="auto"/>
        <w:rPr>
          <w:rFonts w:ascii="Arial" w:eastAsia="Arial" w:hAnsi="Arial" w:cs="Arial"/>
          <w:b/>
          <w:color w:val="000000"/>
          <w:sz w:val="36"/>
          <w:szCs w:val="36"/>
        </w:rPr>
      </w:pPr>
      <w:r>
        <w:rPr>
          <w:rFonts w:ascii="Arial" w:eastAsia="Arial" w:hAnsi="Arial" w:cs="Arial"/>
          <w:b/>
          <w:color w:val="000000"/>
          <w:sz w:val="36"/>
          <w:szCs w:val="36"/>
        </w:rPr>
        <w:t>Call-Off Schedule 14 (Service Levels)</w:t>
      </w:r>
    </w:p>
    <w:p w14:paraId="3B19D797" w14:textId="77777777" w:rsidR="00D32AFE" w:rsidRDefault="00145B13">
      <w:pPr>
        <w:numPr>
          <w:ilvl w:val="0"/>
          <w:numId w:val="2"/>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Definitions</w:t>
      </w:r>
    </w:p>
    <w:p w14:paraId="6970A07B" w14:textId="77777777" w:rsidR="00D32AFE" w:rsidRDefault="00145B13">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In this Schedule, the following words shall have the following meanings and they shall supplement Joint Schedule 1 (Definitions):</w:t>
      </w:r>
    </w:p>
    <w:tbl>
      <w:tblPr>
        <w:tblStyle w:val="a2"/>
        <w:tblW w:w="8363" w:type="dxa"/>
        <w:tblInd w:w="959" w:type="dxa"/>
        <w:tblLayout w:type="fixed"/>
        <w:tblLook w:val="0400" w:firstRow="0" w:lastRow="0" w:firstColumn="0" w:lastColumn="0" w:noHBand="0" w:noVBand="1"/>
      </w:tblPr>
      <w:tblGrid>
        <w:gridCol w:w="2410"/>
        <w:gridCol w:w="5953"/>
      </w:tblGrid>
      <w:tr w:rsidR="00D32AFE" w14:paraId="4A9B3CD1" w14:textId="77777777">
        <w:tc>
          <w:tcPr>
            <w:tcW w:w="2410" w:type="dxa"/>
            <w:shd w:val="clear" w:color="auto" w:fill="auto"/>
          </w:tcPr>
          <w:p w14:paraId="20C98CB7" w14:textId="77777777" w:rsidR="00D32AFE" w:rsidRDefault="00D32AFE">
            <w:pPr>
              <w:pBdr>
                <w:top w:val="nil"/>
                <w:left w:val="nil"/>
                <w:bottom w:val="nil"/>
                <w:right w:val="nil"/>
                <w:between w:val="nil"/>
              </w:pBdr>
              <w:spacing w:after="120" w:line="240" w:lineRule="auto"/>
              <w:ind w:left="-108"/>
              <w:rPr>
                <w:rFonts w:ascii="Arial" w:eastAsia="Arial" w:hAnsi="Arial" w:cs="Arial"/>
                <w:b/>
                <w:color w:val="000000"/>
                <w:sz w:val="24"/>
                <w:szCs w:val="24"/>
              </w:rPr>
            </w:pPr>
          </w:p>
          <w:p w14:paraId="6F280FE2" w14:textId="77777777" w:rsidR="00D32AFE" w:rsidRDefault="00145B1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“Critical Service Level Failure”</w:t>
            </w:r>
          </w:p>
          <w:p w14:paraId="6EF65546" w14:textId="77777777" w:rsidR="00D32AFE" w:rsidRDefault="00D32AFE">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7B324826" w14:textId="77777777" w:rsidR="00D32AFE" w:rsidRDefault="00D32AFE">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p>
          <w:p w14:paraId="5306E565" w14:textId="77777777" w:rsidR="00D32AFE" w:rsidRDefault="00145B13">
            <w:pPr>
              <w:pBdr>
                <w:top w:val="nil"/>
                <w:left w:val="nil"/>
                <w:bottom w:val="nil"/>
                <w:right w:val="nil"/>
                <w:between w:val="nil"/>
              </w:pBdr>
              <w:tabs>
                <w:tab w:val="left" w:pos="-9"/>
                <w:tab w:val="left" w:pos="-179"/>
              </w:tabs>
              <w:spacing w:after="120" w:line="240" w:lineRule="auto"/>
              <w:ind w:left="170" w:hanging="170"/>
              <w:rPr>
                <w:rFonts w:ascii="Arial" w:eastAsia="Arial" w:hAnsi="Arial" w:cs="Arial"/>
                <w:color w:val="000000"/>
                <w:sz w:val="24"/>
                <w:szCs w:val="24"/>
              </w:rPr>
            </w:pPr>
            <w:r>
              <w:rPr>
                <w:rFonts w:ascii="Arial" w:eastAsia="Arial" w:hAnsi="Arial" w:cs="Arial"/>
                <w:color w:val="000000"/>
                <w:sz w:val="24"/>
                <w:szCs w:val="24"/>
              </w:rPr>
              <w:t>has the meaning given to it in the Order Form;</w:t>
            </w:r>
          </w:p>
        </w:tc>
      </w:tr>
      <w:tr w:rsidR="00D32AFE" w14:paraId="0EAF48A0" w14:textId="77777777">
        <w:tc>
          <w:tcPr>
            <w:tcW w:w="2410" w:type="dxa"/>
            <w:shd w:val="clear" w:color="auto" w:fill="auto"/>
          </w:tcPr>
          <w:p w14:paraId="4078F1B2" w14:textId="77777777" w:rsidR="00D32AFE" w:rsidRDefault="00145B1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Credits"</w:t>
            </w:r>
          </w:p>
        </w:tc>
        <w:tc>
          <w:tcPr>
            <w:tcW w:w="5953" w:type="dxa"/>
            <w:shd w:val="clear" w:color="auto" w:fill="auto"/>
          </w:tcPr>
          <w:p w14:paraId="7ADD1659" w14:textId="77777777" w:rsidR="00D32AFE" w:rsidRDefault="00145B13">
            <w:pPr>
              <w:numPr>
                <w:ilvl w:val="0"/>
                <w:numId w:val="3"/>
              </w:num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any service credits specified in the Annex to Part A of this Schedule being payable by the Supplier to the Buyer in respect of any failure by the Supplier to meet one or more Service Levels;</w:t>
            </w:r>
          </w:p>
        </w:tc>
      </w:tr>
      <w:tr w:rsidR="00D32AFE" w14:paraId="262A1A30" w14:textId="77777777">
        <w:trPr>
          <w:trHeight w:val="359"/>
        </w:trPr>
        <w:tc>
          <w:tcPr>
            <w:tcW w:w="2410" w:type="dxa"/>
            <w:shd w:val="clear" w:color="auto" w:fill="auto"/>
          </w:tcPr>
          <w:p w14:paraId="7581D200" w14:textId="77777777" w:rsidR="00D32AFE" w:rsidRDefault="00145B1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Credit Cap"</w:t>
            </w:r>
          </w:p>
        </w:tc>
        <w:tc>
          <w:tcPr>
            <w:tcW w:w="5953" w:type="dxa"/>
            <w:shd w:val="clear" w:color="auto" w:fill="auto"/>
          </w:tcPr>
          <w:p w14:paraId="10624CD4" w14:textId="77777777" w:rsidR="00D32AFE" w:rsidRDefault="00145B13">
            <w:pPr>
              <w:numPr>
                <w:ilvl w:val="0"/>
                <w:numId w:val="3"/>
              </w:num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has the meaning given to it in the Order Form;</w:t>
            </w:r>
          </w:p>
        </w:tc>
      </w:tr>
      <w:tr w:rsidR="00D32AFE" w14:paraId="3B83E179" w14:textId="77777777">
        <w:tc>
          <w:tcPr>
            <w:tcW w:w="2410" w:type="dxa"/>
            <w:shd w:val="clear" w:color="auto" w:fill="auto"/>
          </w:tcPr>
          <w:p w14:paraId="383B6D9E" w14:textId="77777777" w:rsidR="00D32AFE" w:rsidRDefault="00D32AFE">
            <w:pPr>
              <w:pBdr>
                <w:top w:val="nil"/>
                <w:left w:val="nil"/>
                <w:bottom w:val="nil"/>
                <w:right w:val="nil"/>
                <w:between w:val="nil"/>
              </w:pBdr>
              <w:spacing w:after="120" w:line="240" w:lineRule="auto"/>
              <w:ind w:left="-108"/>
              <w:rPr>
                <w:rFonts w:ascii="Arial" w:eastAsia="Arial" w:hAnsi="Arial" w:cs="Arial"/>
                <w:b/>
                <w:color w:val="000000"/>
                <w:sz w:val="24"/>
                <w:szCs w:val="24"/>
              </w:rPr>
            </w:pPr>
          </w:p>
        </w:tc>
        <w:tc>
          <w:tcPr>
            <w:tcW w:w="5953" w:type="dxa"/>
            <w:shd w:val="clear" w:color="auto" w:fill="auto"/>
          </w:tcPr>
          <w:p w14:paraId="5AE9197E" w14:textId="77777777" w:rsidR="00D32AFE" w:rsidRDefault="00D32AFE">
            <w:pPr>
              <w:numPr>
                <w:ilvl w:val="0"/>
                <w:numId w:val="3"/>
              </w:numPr>
              <w:pBdr>
                <w:top w:val="nil"/>
                <w:left w:val="nil"/>
                <w:bottom w:val="nil"/>
                <w:right w:val="nil"/>
                <w:between w:val="nil"/>
              </w:pBdr>
              <w:tabs>
                <w:tab w:val="left" w:pos="-9"/>
                <w:tab w:val="left" w:pos="-179"/>
              </w:tabs>
              <w:spacing w:after="120" w:line="240" w:lineRule="auto"/>
              <w:rPr>
                <w:color w:val="000000"/>
              </w:rPr>
            </w:pPr>
          </w:p>
        </w:tc>
      </w:tr>
      <w:tr w:rsidR="00D32AFE" w14:paraId="2E34744A" w14:textId="77777777">
        <w:tc>
          <w:tcPr>
            <w:tcW w:w="2410" w:type="dxa"/>
            <w:shd w:val="clear" w:color="auto" w:fill="auto"/>
          </w:tcPr>
          <w:p w14:paraId="4D6DAB9C" w14:textId="77777777" w:rsidR="00D32AFE" w:rsidRDefault="00145B1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Failure"</w:t>
            </w:r>
          </w:p>
        </w:tc>
        <w:tc>
          <w:tcPr>
            <w:tcW w:w="5953" w:type="dxa"/>
            <w:shd w:val="clear" w:color="auto" w:fill="auto"/>
          </w:tcPr>
          <w:p w14:paraId="035D528C" w14:textId="77777777" w:rsidR="00D32AFE" w:rsidRDefault="00145B13">
            <w:pPr>
              <w:numPr>
                <w:ilvl w:val="0"/>
                <w:numId w:val="3"/>
              </w:num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means a failure to meet the Service Level Performance Measure in respect of a Service Level;</w:t>
            </w:r>
          </w:p>
        </w:tc>
      </w:tr>
      <w:tr w:rsidR="00D32AFE" w14:paraId="3FFFDA55" w14:textId="77777777">
        <w:tc>
          <w:tcPr>
            <w:tcW w:w="2410" w:type="dxa"/>
            <w:shd w:val="clear" w:color="auto" w:fill="auto"/>
          </w:tcPr>
          <w:p w14:paraId="2D5E13E6" w14:textId="77777777" w:rsidR="00D32AFE" w:rsidRDefault="00145B1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Performance Measure"</w:t>
            </w:r>
          </w:p>
        </w:tc>
        <w:tc>
          <w:tcPr>
            <w:tcW w:w="5953" w:type="dxa"/>
            <w:shd w:val="clear" w:color="auto" w:fill="auto"/>
          </w:tcPr>
          <w:p w14:paraId="0D2E304E" w14:textId="77777777" w:rsidR="00D32AFE" w:rsidRDefault="00145B13">
            <w:pPr>
              <w:numPr>
                <w:ilvl w:val="0"/>
                <w:numId w:val="3"/>
              </w:num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shall be as set out against the relevant Service Level in the Annex to Part A of this Schedule; and</w:t>
            </w:r>
          </w:p>
        </w:tc>
      </w:tr>
      <w:tr w:rsidR="00D32AFE" w14:paraId="6706204D" w14:textId="77777777">
        <w:tc>
          <w:tcPr>
            <w:tcW w:w="2410" w:type="dxa"/>
            <w:shd w:val="clear" w:color="auto" w:fill="auto"/>
          </w:tcPr>
          <w:p w14:paraId="5567B8FB" w14:textId="77777777" w:rsidR="00D32AFE" w:rsidRDefault="00145B13">
            <w:pPr>
              <w:pBdr>
                <w:top w:val="nil"/>
                <w:left w:val="nil"/>
                <w:bottom w:val="nil"/>
                <w:right w:val="nil"/>
                <w:between w:val="nil"/>
              </w:pBdr>
              <w:spacing w:after="120" w:line="240" w:lineRule="auto"/>
              <w:ind w:left="-108"/>
              <w:rPr>
                <w:rFonts w:ascii="Arial" w:eastAsia="Arial" w:hAnsi="Arial" w:cs="Arial"/>
                <w:b/>
                <w:color w:val="000000"/>
                <w:sz w:val="24"/>
                <w:szCs w:val="24"/>
              </w:rPr>
            </w:pPr>
            <w:r>
              <w:rPr>
                <w:rFonts w:ascii="Arial" w:eastAsia="Arial" w:hAnsi="Arial" w:cs="Arial"/>
                <w:b/>
                <w:color w:val="000000"/>
                <w:sz w:val="24"/>
                <w:szCs w:val="24"/>
              </w:rPr>
              <w:t>"Service Level Threshold"</w:t>
            </w:r>
          </w:p>
        </w:tc>
        <w:tc>
          <w:tcPr>
            <w:tcW w:w="5953" w:type="dxa"/>
            <w:shd w:val="clear" w:color="auto" w:fill="auto"/>
          </w:tcPr>
          <w:p w14:paraId="073067AE" w14:textId="77777777" w:rsidR="00D32AFE" w:rsidRDefault="00145B13">
            <w:pPr>
              <w:numPr>
                <w:ilvl w:val="0"/>
                <w:numId w:val="3"/>
              </w:numPr>
              <w:pBdr>
                <w:top w:val="nil"/>
                <w:left w:val="nil"/>
                <w:bottom w:val="nil"/>
                <w:right w:val="nil"/>
                <w:between w:val="nil"/>
              </w:pBdr>
              <w:tabs>
                <w:tab w:val="left" w:pos="-9"/>
                <w:tab w:val="left" w:pos="-179"/>
              </w:tabs>
              <w:spacing w:after="120" w:line="240" w:lineRule="auto"/>
              <w:rPr>
                <w:color w:val="000000"/>
              </w:rPr>
            </w:pPr>
            <w:r>
              <w:rPr>
                <w:rFonts w:ascii="Arial" w:eastAsia="Arial" w:hAnsi="Arial" w:cs="Arial"/>
                <w:color w:val="000000"/>
                <w:sz w:val="24"/>
                <w:szCs w:val="24"/>
              </w:rPr>
              <w:t>shall be as set out against the relevant Service Level in the Annex to Part A of this Schedule.</w:t>
            </w:r>
          </w:p>
        </w:tc>
      </w:tr>
    </w:tbl>
    <w:p w14:paraId="71121C9C" w14:textId="77777777" w:rsidR="00D32AFE" w:rsidRDefault="00145B13">
      <w:pPr>
        <w:numPr>
          <w:ilvl w:val="0"/>
          <w:numId w:val="2"/>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What happens if you don’t meet the Service Levels</w:t>
      </w:r>
    </w:p>
    <w:p w14:paraId="5EE0896D" w14:textId="77777777" w:rsidR="00D32AFE" w:rsidRDefault="00145B13">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at all times provide the Deliverables to meet or exceed the Service Level Performance Measure for each Service Level.</w:t>
      </w:r>
    </w:p>
    <w:p w14:paraId="67050512" w14:textId="77777777" w:rsidR="00D32AFE" w:rsidRDefault="00145B13">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46A061A6" w14:textId="77777777" w:rsidR="00D32AFE" w:rsidRDefault="00145B13">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send Performance Monitoring Reports to the Buyer detailing the level of service which was achieved in accordance with the provisions of Part B (Performance Monitoring) of this Schedule.</w:t>
      </w:r>
    </w:p>
    <w:p w14:paraId="11CEFC8B" w14:textId="77777777" w:rsidR="00D32AFE" w:rsidRDefault="00145B13">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 Service Credit shall be the Buyer’s exclusive financial remedy for a Service Level Failure except where:</w:t>
      </w:r>
    </w:p>
    <w:p w14:paraId="4CBB0ECD" w14:textId="77777777" w:rsidR="00D32AFE" w:rsidRDefault="00145B13">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the Supplier has over the previous (twelve) 12 Month period exceeded the Service Credit Cap; and/or</w:t>
      </w:r>
    </w:p>
    <w:p w14:paraId="3F33B20D" w14:textId="77777777" w:rsidR="00D32AFE" w:rsidRDefault="00145B13">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Service Level Failure:</w:t>
      </w:r>
    </w:p>
    <w:p w14:paraId="3D4285EC" w14:textId="77777777" w:rsidR="00D32AFE" w:rsidRDefault="00145B13">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exceeds the relevant Service Level Threshold;</w:t>
      </w:r>
    </w:p>
    <w:p w14:paraId="3C188979" w14:textId="77777777" w:rsidR="00D32AFE" w:rsidRDefault="00145B13">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has arisen due to a Prohibited Act or wilful Default by the Supplier; </w:t>
      </w:r>
    </w:p>
    <w:p w14:paraId="145EBF86" w14:textId="77777777" w:rsidR="00D32AFE" w:rsidRDefault="00145B13">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results in the corruption or loss of any Government Data; and/or</w:t>
      </w:r>
    </w:p>
    <w:p w14:paraId="11E645FC" w14:textId="77777777" w:rsidR="00D32AFE" w:rsidRDefault="00145B13">
      <w:pPr>
        <w:numPr>
          <w:ilvl w:val="3"/>
          <w:numId w:val="2"/>
        </w:numPr>
        <w:pBdr>
          <w:top w:val="nil"/>
          <w:left w:val="nil"/>
          <w:bottom w:val="nil"/>
          <w:right w:val="nil"/>
          <w:between w:val="nil"/>
        </w:pBdr>
        <w:spacing w:before="120" w:after="120" w:line="240" w:lineRule="auto"/>
      </w:pPr>
      <w:r>
        <w:rPr>
          <w:rFonts w:ascii="Arial" w:eastAsia="Arial" w:hAnsi="Arial" w:cs="Arial"/>
          <w:color w:val="000000"/>
          <w:sz w:val="24"/>
          <w:szCs w:val="24"/>
        </w:rPr>
        <w:t>results in the Buyer being required to make a compensation payment to one or more third parties; and/or</w:t>
      </w:r>
    </w:p>
    <w:p w14:paraId="4A1780E7" w14:textId="77777777" w:rsidR="00D32AFE" w:rsidRDefault="00145B13">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Buyer is entitled to or does terminate this Contract pursuant to Clause 10.4 (CCS and Buyer Termination Rights).</w:t>
      </w:r>
    </w:p>
    <w:p w14:paraId="02B90C24" w14:textId="77777777" w:rsidR="00D32AFE" w:rsidRDefault="00145B13">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Not more than once in each Contract Year, the Buyer may, on giving the Supplier at least three (3) Months’ notice, change the weighting of Service Level Performance Measure in respect of one or more Service Levels and the Supplier shall not be entitled to object to, or increase the Charges as a result of such changes, provided that:</w:t>
      </w:r>
    </w:p>
    <w:p w14:paraId="10137BFA" w14:textId="77777777" w:rsidR="00D32AFE" w:rsidRDefault="00145B13">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the total number of Service Levels for which the weighting is to be changed does not exceed the number applicable as at the Start Date; </w:t>
      </w:r>
    </w:p>
    <w:p w14:paraId="5687D075" w14:textId="77777777" w:rsidR="00D32AFE" w:rsidRDefault="00145B13">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principal purpose of the change is to reflect changes in the Buyer's business requirements and/or priorities or to reflect changing industry standards; and</w:t>
      </w:r>
    </w:p>
    <w:p w14:paraId="3354F08C" w14:textId="77777777" w:rsidR="00D32AFE" w:rsidRDefault="00145B13">
      <w:pPr>
        <w:numPr>
          <w:ilvl w:val="2"/>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there is no change to the Service Credit Cap.</w:t>
      </w:r>
    </w:p>
    <w:p w14:paraId="5C9CEEBE" w14:textId="77777777" w:rsidR="00D32AFE" w:rsidRDefault="00145B13">
      <w:pPr>
        <w:numPr>
          <w:ilvl w:val="0"/>
          <w:numId w:val="2"/>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Critical Service Level Failure</w:t>
      </w:r>
    </w:p>
    <w:p w14:paraId="0B7FDE98" w14:textId="77777777" w:rsidR="00D32AFE" w:rsidRDefault="00145B13">
      <w:pPr>
        <w:pBdr>
          <w:top w:val="nil"/>
          <w:left w:val="nil"/>
          <w:bottom w:val="nil"/>
          <w:right w:val="nil"/>
          <w:between w:val="nil"/>
        </w:pBdr>
        <w:spacing w:before="120" w:after="120" w:line="240" w:lineRule="auto"/>
        <w:ind w:left="936" w:hanging="576"/>
        <w:rPr>
          <w:rFonts w:ascii="Arial" w:eastAsia="Arial" w:hAnsi="Arial" w:cs="Arial"/>
          <w:color w:val="000000"/>
          <w:sz w:val="24"/>
          <w:szCs w:val="24"/>
        </w:rPr>
      </w:pPr>
      <w:r>
        <w:rPr>
          <w:rFonts w:ascii="Arial" w:eastAsia="Arial" w:hAnsi="Arial" w:cs="Arial"/>
          <w:color w:val="000000"/>
          <w:sz w:val="24"/>
          <w:szCs w:val="24"/>
        </w:rPr>
        <w:t>On the occurrence of a Critical Service Level Failure:</w:t>
      </w:r>
    </w:p>
    <w:p w14:paraId="438B3274" w14:textId="77777777" w:rsidR="00D32AFE" w:rsidRDefault="00145B13">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any Service Credits that would otherwise have accrued during the relevant Service Period shall not accrue; and</w:t>
      </w:r>
    </w:p>
    <w:p w14:paraId="4E1B5FAF" w14:textId="77777777" w:rsidR="00D32AFE" w:rsidRDefault="00145B13">
      <w:pPr>
        <w:numPr>
          <w:ilvl w:val="1"/>
          <w:numId w:val="2"/>
        </w:numPr>
        <w:pBdr>
          <w:top w:val="nil"/>
          <w:left w:val="nil"/>
          <w:bottom w:val="nil"/>
          <w:right w:val="nil"/>
          <w:between w:val="nil"/>
        </w:pBdr>
        <w:spacing w:before="120" w:after="120" w:line="240" w:lineRule="auto"/>
      </w:pPr>
      <w:r>
        <w:rPr>
          <w:rFonts w:ascii="Arial" w:eastAsia="Arial" w:hAnsi="Arial" w:cs="Arial"/>
          <w:color w:val="000000"/>
          <w:sz w:val="24"/>
          <w:szCs w:val="24"/>
        </w:rPr>
        <w:t>the Buyer shall (subject to the Service Credit Cap) be entitled to withhold and retain as compensation a sum equal to any Charges which would otherwise have been due to the Supplier in respect of that Service Period ("</w:t>
      </w:r>
      <w:r>
        <w:rPr>
          <w:rFonts w:ascii="Arial" w:eastAsia="Arial" w:hAnsi="Arial" w:cs="Arial"/>
          <w:b/>
          <w:color w:val="000000"/>
          <w:sz w:val="24"/>
          <w:szCs w:val="24"/>
        </w:rPr>
        <w:t>Compensation for Critical Service Level Failure</w:t>
      </w:r>
      <w:r>
        <w:rPr>
          <w:rFonts w:ascii="Arial" w:eastAsia="Arial" w:hAnsi="Arial" w:cs="Arial"/>
          <w:color w:val="000000"/>
          <w:sz w:val="24"/>
          <w:szCs w:val="24"/>
        </w:rPr>
        <w:t>"),</w:t>
      </w:r>
    </w:p>
    <w:p w14:paraId="0B32AAB9" w14:textId="77777777" w:rsidR="00D32AFE" w:rsidRDefault="00145B13">
      <w:pPr>
        <w:pBdr>
          <w:top w:val="nil"/>
          <w:left w:val="nil"/>
          <w:bottom w:val="nil"/>
          <w:right w:val="nil"/>
          <w:between w:val="nil"/>
        </w:pBdr>
        <w:tabs>
          <w:tab w:val="left" w:pos="3402"/>
        </w:tabs>
        <w:spacing w:after="220" w:line="240" w:lineRule="auto"/>
        <w:ind w:left="720"/>
        <w:rPr>
          <w:rFonts w:ascii="Arial" w:eastAsia="Arial" w:hAnsi="Arial" w:cs="Arial"/>
          <w:color w:val="000000"/>
          <w:sz w:val="24"/>
          <w:szCs w:val="24"/>
        </w:rPr>
      </w:pPr>
      <w:r>
        <w:rPr>
          <w:rFonts w:ascii="Arial" w:eastAsia="Arial" w:hAnsi="Arial" w:cs="Arial"/>
          <w:color w:val="000000"/>
          <w:sz w:val="24"/>
          <w:szCs w:val="24"/>
        </w:rPr>
        <w:t>provided that the operation of this paragraph 3 shall be without prejudice to the right of the Buyer to terminate this Contract and/or to claim damages from the Supplier for material Default.</w:t>
      </w:r>
    </w:p>
    <w:p w14:paraId="31CC2F22" w14:textId="77777777" w:rsidR="00D32AFE" w:rsidRDefault="00D32AFE">
      <w:pPr>
        <w:pBdr>
          <w:top w:val="nil"/>
          <w:left w:val="nil"/>
          <w:bottom w:val="nil"/>
          <w:right w:val="nil"/>
          <w:between w:val="nil"/>
        </w:pBdr>
        <w:tabs>
          <w:tab w:val="left" w:pos="142"/>
        </w:tabs>
        <w:spacing w:before="240" w:after="120" w:line="240" w:lineRule="auto"/>
        <w:ind w:left="426" w:hanging="360"/>
        <w:rPr>
          <w:rFonts w:ascii="Arial" w:eastAsia="Arial" w:hAnsi="Arial" w:cs="Arial"/>
          <w:b/>
          <w:smallCaps/>
          <w:color w:val="000000"/>
          <w:sz w:val="24"/>
          <w:szCs w:val="24"/>
        </w:rPr>
      </w:pPr>
    </w:p>
    <w:p w14:paraId="01390079" w14:textId="77777777" w:rsidR="00D32AFE" w:rsidRDefault="00145B13">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A: Service Levels and Service Credits </w:t>
      </w:r>
    </w:p>
    <w:p w14:paraId="02D3E2A0" w14:textId="77777777" w:rsidR="00D32AFE" w:rsidRDefault="00145B13">
      <w:pPr>
        <w:numPr>
          <w:ilvl w:val="0"/>
          <w:numId w:val="4"/>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Service Levels</w:t>
      </w:r>
    </w:p>
    <w:p w14:paraId="15A9BE3D" w14:textId="77777777" w:rsidR="00D32AFE" w:rsidRDefault="00145B13">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If the level of performance of the Supplier:</w:t>
      </w:r>
    </w:p>
    <w:p w14:paraId="2BF3EC49" w14:textId="77777777" w:rsidR="00D32AFE" w:rsidRDefault="00145B13">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is likely to or fails to meet any Service Level Performance Measure; or</w:t>
      </w:r>
    </w:p>
    <w:p w14:paraId="47BC679A" w14:textId="77777777" w:rsidR="00D32AFE" w:rsidRDefault="00145B13">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is likely to cause or causes a Critical Service Failure to occur, </w:t>
      </w:r>
    </w:p>
    <w:p w14:paraId="21DF4E2F" w14:textId="77777777" w:rsidR="00D32AFE" w:rsidRDefault="00145B13">
      <w:pPr>
        <w:pBdr>
          <w:top w:val="nil"/>
          <w:left w:val="nil"/>
          <w:bottom w:val="nil"/>
          <w:right w:val="nil"/>
          <w:between w:val="nil"/>
        </w:pBdr>
        <w:spacing w:before="120" w:after="120" w:line="240" w:lineRule="auto"/>
        <w:ind w:left="720" w:hanging="576"/>
        <w:rPr>
          <w:rFonts w:ascii="Arial" w:eastAsia="Arial" w:hAnsi="Arial" w:cs="Arial"/>
          <w:color w:val="000000"/>
          <w:sz w:val="24"/>
          <w:szCs w:val="24"/>
        </w:rPr>
      </w:pPr>
      <w:r>
        <w:rPr>
          <w:rFonts w:ascii="Arial" w:eastAsia="Arial" w:hAnsi="Arial" w:cs="Arial"/>
          <w:color w:val="000000"/>
          <w:sz w:val="24"/>
          <w:szCs w:val="24"/>
        </w:rPr>
        <w:t>the Supplier shall immediately notify the Buyer in writing and the Buyer, in its absolute discretion and without limiting any other of its rights, may:</w:t>
      </w:r>
    </w:p>
    <w:p w14:paraId="0EC72AF5" w14:textId="77777777" w:rsidR="00D32AFE" w:rsidRDefault="00145B13">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09C7B03B" w14:textId="77777777" w:rsidR="00D32AFE" w:rsidRDefault="00145B13">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instruct the Supplier to comply with the Rectification Plan Process; </w:t>
      </w:r>
    </w:p>
    <w:p w14:paraId="4CC075E4" w14:textId="77777777" w:rsidR="00D32AFE" w:rsidRDefault="00145B13">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if a Service Level Failure has occurred, deduct the applicable Service Level Credits payable by the Supplier to the Buyer; and/or</w:t>
      </w:r>
    </w:p>
    <w:p w14:paraId="0E7776FC" w14:textId="77777777" w:rsidR="00D32AFE" w:rsidRDefault="00145B13">
      <w:pPr>
        <w:numPr>
          <w:ilvl w:val="2"/>
          <w:numId w:val="1"/>
        </w:numPr>
        <w:pBdr>
          <w:top w:val="nil"/>
          <w:left w:val="nil"/>
          <w:bottom w:val="nil"/>
          <w:right w:val="nil"/>
          <w:between w:val="nil"/>
        </w:pBdr>
        <w:spacing w:before="120" w:after="120" w:line="240" w:lineRule="auto"/>
      </w:pPr>
      <w:r>
        <w:rPr>
          <w:rFonts w:ascii="Arial" w:eastAsia="Arial" w:hAnsi="Arial" w:cs="Arial"/>
          <w:color w:val="000000"/>
          <w:sz w:val="24"/>
          <w:szCs w:val="24"/>
        </w:rPr>
        <w:t>if a Critical Service Level Failure has occurred, exercise its right to Compensation for Critical Service Level Failure (including the right to terminate for material Default).</w:t>
      </w:r>
    </w:p>
    <w:p w14:paraId="181C5C25" w14:textId="77777777" w:rsidR="00D32AFE" w:rsidRDefault="00145B13">
      <w:pPr>
        <w:numPr>
          <w:ilvl w:val="0"/>
          <w:numId w:val="4"/>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Service Credits</w:t>
      </w:r>
    </w:p>
    <w:p w14:paraId="1307AC92" w14:textId="77777777" w:rsidR="00D32AFE" w:rsidRDefault="00145B13">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Buyer shall use the Performance Monitoring Reports supplied by the Supplier to verify the calculation and accuracy of the Service Credits, if any, applicable to each Service Period.</w:t>
      </w:r>
    </w:p>
    <w:p w14:paraId="28740833" w14:textId="77777777" w:rsidR="00D32AFE" w:rsidRDefault="00145B13">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066B57FC" w14:textId="77777777" w:rsidR="00D32AFE" w:rsidRDefault="00145B13">
      <w:pPr>
        <w:keepNext/>
        <w:pBdr>
          <w:top w:val="nil"/>
          <w:left w:val="nil"/>
          <w:bottom w:val="nil"/>
          <w:right w:val="nil"/>
          <w:between w:val="nil"/>
        </w:pBdr>
        <w:spacing w:after="240" w:line="240" w:lineRule="auto"/>
        <w:rPr>
          <w:rFonts w:ascii="Arial" w:eastAsia="Arial" w:hAnsi="Arial" w:cs="Arial"/>
          <w:b/>
          <w:color w:val="000000"/>
          <w:sz w:val="24"/>
          <w:szCs w:val="24"/>
        </w:rPr>
      </w:pPr>
      <w:r>
        <w:br w:type="page"/>
      </w:r>
      <w:r>
        <w:rPr>
          <w:rFonts w:ascii="Arial" w:eastAsia="Arial" w:hAnsi="Arial" w:cs="Arial"/>
          <w:b/>
          <w:color w:val="000000"/>
          <w:sz w:val="36"/>
          <w:szCs w:val="36"/>
        </w:rPr>
        <w:lastRenderedPageBreak/>
        <w:t>Annex A to Part A: Services Levels and Service Credits Table</w:t>
      </w:r>
    </w:p>
    <w:p w14:paraId="5F1B0EA6" w14:textId="77777777" w:rsidR="00D32AFE" w:rsidRDefault="00D32AFE">
      <w:pPr>
        <w:ind w:left="709"/>
        <w:rPr>
          <w:rFonts w:ascii="Arial" w:eastAsia="Arial" w:hAnsi="Arial" w:cs="Arial"/>
          <w:sz w:val="24"/>
          <w:szCs w:val="24"/>
        </w:rPr>
      </w:pPr>
    </w:p>
    <w:tbl>
      <w:tblPr>
        <w:tblStyle w:val="a3"/>
        <w:tblW w:w="1174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988"/>
        <w:gridCol w:w="2273"/>
        <w:gridCol w:w="3118"/>
        <w:gridCol w:w="1418"/>
        <w:gridCol w:w="1412"/>
        <w:gridCol w:w="1139"/>
        <w:gridCol w:w="1398"/>
      </w:tblGrid>
      <w:tr w:rsidR="00D32AFE" w14:paraId="56C249C5" w14:textId="77777777">
        <w:trPr>
          <w:trHeight w:val="1213"/>
          <w:tblHeader/>
          <w:jc w:val="center"/>
        </w:trPr>
        <w:tc>
          <w:tcPr>
            <w:tcW w:w="9209" w:type="dxa"/>
            <w:gridSpan w:val="5"/>
            <w:shd w:val="clear" w:color="auto" w:fill="D9D9D9"/>
          </w:tcPr>
          <w:p w14:paraId="2C0DE7AC" w14:textId="77777777" w:rsidR="00D32AFE" w:rsidRDefault="00145B13">
            <w:pPr>
              <w:ind w:left="95"/>
              <w:rPr>
                <w:rFonts w:ascii="Arial" w:eastAsia="Arial" w:hAnsi="Arial" w:cs="Arial"/>
                <w:sz w:val="24"/>
                <w:szCs w:val="24"/>
              </w:rPr>
            </w:pPr>
            <w:r>
              <w:rPr>
                <w:rFonts w:ascii="Arial" w:eastAsia="Arial" w:hAnsi="Arial" w:cs="Arial"/>
                <w:sz w:val="24"/>
                <w:szCs w:val="24"/>
              </w:rPr>
              <w:t>Service Levels</w:t>
            </w:r>
          </w:p>
        </w:tc>
        <w:tc>
          <w:tcPr>
            <w:tcW w:w="1139" w:type="dxa"/>
            <w:vMerge w:val="restart"/>
            <w:shd w:val="clear" w:color="auto" w:fill="D9D9D9"/>
            <w:vAlign w:val="center"/>
          </w:tcPr>
          <w:p w14:paraId="2C7D8482" w14:textId="77777777" w:rsidR="00D32AFE" w:rsidRDefault="00145B13">
            <w:pPr>
              <w:ind w:left="95"/>
              <w:rPr>
                <w:rFonts w:ascii="Arial" w:eastAsia="Arial" w:hAnsi="Arial" w:cs="Arial"/>
                <w:sz w:val="24"/>
                <w:szCs w:val="24"/>
              </w:rPr>
            </w:pPr>
            <w:r>
              <w:rPr>
                <w:rFonts w:ascii="Arial" w:eastAsia="Arial" w:hAnsi="Arial" w:cs="Arial"/>
                <w:sz w:val="24"/>
                <w:szCs w:val="24"/>
              </w:rPr>
              <w:t>Service Credit for each Service Period</w:t>
            </w:r>
          </w:p>
          <w:p w14:paraId="66512C97" w14:textId="77777777" w:rsidR="00D32AFE" w:rsidRDefault="00D32AFE">
            <w:pPr>
              <w:ind w:left="95"/>
              <w:rPr>
                <w:rFonts w:ascii="Arial" w:eastAsia="Arial" w:hAnsi="Arial" w:cs="Arial"/>
                <w:sz w:val="24"/>
                <w:szCs w:val="24"/>
              </w:rPr>
            </w:pPr>
          </w:p>
        </w:tc>
        <w:tc>
          <w:tcPr>
            <w:tcW w:w="1398" w:type="dxa"/>
            <w:shd w:val="clear" w:color="auto" w:fill="D9D9D9"/>
          </w:tcPr>
          <w:p w14:paraId="532893FE" w14:textId="77777777" w:rsidR="00D32AFE" w:rsidRDefault="00D32AFE">
            <w:pPr>
              <w:ind w:left="95"/>
              <w:rPr>
                <w:rFonts w:ascii="Arial" w:eastAsia="Arial" w:hAnsi="Arial" w:cs="Arial"/>
                <w:sz w:val="24"/>
                <w:szCs w:val="24"/>
              </w:rPr>
            </w:pPr>
          </w:p>
        </w:tc>
      </w:tr>
      <w:tr w:rsidR="00D32AFE" w14:paraId="1D9B8A62" w14:textId="77777777">
        <w:trPr>
          <w:trHeight w:val="1213"/>
          <w:tblHeader/>
          <w:jc w:val="center"/>
        </w:trPr>
        <w:tc>
          <w:tcPr>
            <w:tcW w:w="988" w:type="dxa"/>
            <w:shd w:val="clear" w:color="auto" w:fill="D9D9D9"/>
          </w:tcPr>
          <w:p w14:paraId="7694E3E1" w14:textId="77777777" w:rsidR="00D32AFE" w:rsidRDefault="00145B13">
            <w:pPr>
              <w:ind w:left="61"/>
              <w:rPr>
                <w:rFonts w:ascii="Arial" w:eastAsia="Arial" w:hAnsi="Arial" w:cs="Arial"/>
                <w:sz w:val="24"/>
                <w:szCs w:val="24"/>
              </w:rPr>
            </w:pPr>
            <w:r>
              <w:rPr>
                <w:rFonts w:ascii="Arial" w:eastAsia="Arial" w:hAnsi="Arial" w:cs="Arial"/>
                <w:sz w:val="24"/>
                <w:szCs w:val="24"/>
              </w:rPr>
              <w:t>No.</w:t>
            </w:r>
          </w:p>
        </w:tc>
        <w:tc>
          <w:tcPr>
            <w:tcW w:w="2273" w:type="dxa"/>
            <w:shd w:val="clear" w:color="auto" w:fill="D9D9D9"/>
            <w:vAlign w:val="center"/>
          </w:tcPr>
          <w:p w14:paraId="48F71C5C" w14:textId="77777777" w:rsidR="00D32AFE" w:rsidRDefault="00145B13">
            <w:pPr>
              <w:ind w:left="61"/>
              <w:rPr>
                <w:rFonts w:ascii="Arial" w:eastAsia="Arial" w:hAnsi="Arial" w:cs="Arial"/>
                <w:sz w:val="24"/>
                <w:szCs w:val="24"/>
              </w:rPr>
            </w:pPr>
            <w:r>
              <w:rPr>
                <w:rFonts w:ascii="Arial" w:eastAsia="Arial" w:hAnsi="Arial" w:cs="Arial"/>
                <w:sz w:val="24"/>
                <w:szCs w:val="24"/>
              </w:rPr>
              <w:t>Service Level Performance Criterion</w:t>
            </w:r>
          </w:p>
        </w:tc>
        <w:tc>
          <w:tcPr>
            <w:tcW w:w="3118" w:type="dxa"/>
            <w:shd w:val="clear" w:color="auto" w:fill="D9D9D9"/>
            <w:vAlign w:val="center"/>
          </w:tcPr>
          <w:p w14:paraId="4B07C55F" w14:textId="77777777" w:rsidR="00D32AFE" w:rsidRDefault="00145B13">
            <w:pPr>
              <w:ind w:left="95"/>
              <w:rPr>
                <w:rFonts w:ascii="Arial" w:eastAsia="Arial" w:hAnsi="Arial" w:cs="Arial"/>
                <w:sz w:val="24"/>
                <w:szCs w:val="24"/>
              </w:rPr>
            </w:pPr>
            <w:r>
              <w:rPr>
                <w:rFonts w:ascii="Arial" w:eastAsia="Arial" w:hAnsi="Arial" w:cs="Arial"/>
                <w:sz w:val="24"/>
                <w:szCs w:val="24"/>
              </w:rPr>
              <w:t>Key Indicator</w:t>
            </w:r>
          </w:p>
        </w:tc>
        <w:tc>
          <w:tcPr>
            <w:tcW w:w="1418" w:type="dxa"/>
            <w:shd w:val="clear" w:color="auto" w:fill="D9D9D9"/>
            <w:vAlign w:val="center"/>
          </w:tcPr>
          <w:p w14:paraId="042BA016" w14:textId="77777777" w:rsidR="00D32AFE" w:rsidRDefault="00145B13">
            <w:pPr>
              <w:rPr>
                <w:rFonts w:ascii="Arial" w:eastAsia="Arial" w:hAnsi="Arial" w:cs="Arial"/>
                <w:sz w:val="24"/>
                <w:szCs w:val="24"/>
              </w:rPr>
            </w:pPr>
            <w:r>
              <w:rPr>
                <w:rFonts w:ascii="Arial" w:eastAsia="Arial" w:hAnsi="Arial" w:cs="Arial"/>
                <w:sz w:val="24"/>
                <w:szCs w:val="24"/>
              </w:rPr>
              <w:t>Service Level Performance Measure</w:t>
            </w:r>
          </w:p>
        </w:tc>
        <w:tc>
          <w:tcPr>
            <w:tcW w:w="1412" w:type="dxa"/>
            <w:shd w:val="clear" w:color="auto" w:fill="D9D9D9"/>
          </w:tcPr>
          <w:p w14:paraId="18A925EA" w14:textId="77777777" w:rsidR="00D32AFE" w:rsidRDefault="00145B13">
            <w:pPr>
              <w:ind w:left="95"/>
              <w:rPr>
                <w:rFonts w:ascii="Arial" w:eastAsia="Arial" w:hAnsi="Arial" w:cs="Arial"/>
                <w:sz w:val="24"/>
                <w:szCs w:val="24"/>
              </w:rPr>
            </w:pPr>
            <w:r>
              <w:rPr>
                <w:rFonts w:ascii="Arial" w:eastAsia="Arial" w:hAnsi="Arial" w:cs="Arial"/>
                <w:sz w:val="24"/>
                <w:szCs w:val="24"/>
              </w:rPr>
              <w:t>Service Level Threshold</w:t>
            </w:r>
          </w:p>
        </w:tc>
        <w:tc>
          <w:tcPr>
            <w:tcW w:w="1139" w:type="dxa"/>
            <w:vMerge/>
            <w:shd w:val="clear" w:color="auto" w:fill="D9D9D9"/>
            <w:vAlign w:val="center"/>
          </w:tcPr>
          <w:p w14:paraId="2C204525" w14:textId="77777777" w:rsidR="00D32AFE" w:rsidRDefault="00D32AFE">
            <w:pPr>
              <w:widowControl w:val="0"/>
              <w:pBdr>
                <w:top w:val="nil"/>
                <w:left w:val="nil"/>
                <w:bottom w:val="nil"/>
                <w:right w:val="nil"/>
                <w:between w:val="nil"/>
              </w:pBdr>
              <w:spacing w:after="0"/>
              <w:rPr>
                <w:rFonts w:ascii="Arial" w:eastAsia="Arial" w:hAnsi="Arial" w:cs="Arial"/>
                <w:sz w:val="24"/>
                <w:szCs w:val="24"/>
              </w:rPr>
            </w:pPr>
          </w:p>
        </w:tc>
        <w:tc>
          <w:tcPr>
            <w:tcW w:w="1398" w:type="dxa"/>
            <w:shd w:val="clear" w:color="auto" w:fill="D9D9D9"/>
          </w:tcPr>
          <w:p w14:paraId="6D096CB0" w14:textId="77777777" w:rsidR="00D32AFE" w:rsidRDefault="00145B13">
            <w:pPr>
              <w:ind w:left="95"/>
              <w:rPr>
                <w:rFonts w:ascii="Arial" w:eastAsia="Arial" w:hAnsi="Arial" w:cs="Arial"/>
                <w:sz w:val="24"/>
                <w:szCs w:val="24"/>
              </w:rPr>
            </w:pPr>
            <w:r>
              <w:rPr>
                <w:rFonts w:ascii="Arial" w:eastAsia="Arial" w:hAnsi="Arial" w:cs="Arial"/>
                <w:sz w:val="24"/>
                <w:szCs w:val="24"/>
              </w:rPr>
              <w:t>Publishable KPI</w:t>
            </w:r>
          </w:p>
        </w:tc>
      </w:tr>
      <w:tr w:rsidR="00D32AFE" w14:paraId="0C22162D" w14:textId="77777777">
        <w:trPr>
          <w:trHeight w:val="1474"/>
          <w:jc w:val="center"/>
        </w:trPr>
        <w:tc>
          <w:tcPr>
            <w:tcW w:w="988" w:type="dxa"/>
          </w:tcPr>
          <w:p w14:paraId="7318A18C"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SL1</w:t>
            </w:r>
          </w:p>
        </w:tc>
        <w:tc>
          <w:tcPr>
            <w:tcW w:w="2273" w:type="dxa"/>
          </w:tcPr>
          <w:p w14:paraId="12FA70CC" w14:textId="77777777" w:rsidR="00D32AFE" w:rsidRDefault="00145B13">
            <w:pPr>
              <w:spacing w:after="120"/>
              <w:ind w:left="61"/>
              <w:rPr>
                <w:rFonts w:ascii="Arial" w:eastAsia="Arial" w:hAnsi="Arial" w:cs="Arial"/>
                <w:sz w:val="24"/>
                <w:szCs w:val="24"/>
              </w:rPr>
            </w:pPr>
            <w:r>
              <w:rPr>
                <w:rFonts w:ascii="Arial" w:eastAsia="Arial" w:hAnsi="Arial" w:cs="Arial"/>
                <w:b/>
                <w:sz w:val="24"/>
                <w:szCs w:val="24"/>
              </w:rPr>
              <w:t xml:space="preserve">Support </w:t>
            </w:r>
          </w:p>
          <w:p w14:paraId="2CC5FC2E" w14:textId="77777777" w:rsidR="00D32AFE" w:rsidRDefault="00D32AFE">
            <w:pPr>
              <w:spacing w:after="120"/>
              <w:ind w:left="61"/>
              <w:rPr>
                <w:rFonts w:ascii="Arial" w:eastAsia="Arial" w:hAnsi="Arial" w:cs="Arial"/>
                <w:sz w:val="24"/>
                <w:szCs w:val="24"/>
              </w:rPr>
            </w:pPr>
          </w:p>
        </w:tc>
        <w:tc>
          <w:tcPr>
            <w:tcW w:w="3118" w:type="dxa"/>
          </w:tcPr>
          <w:p w14:paraId="426841C9"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Dedicated account manager or delegate available during Operational Hours. Monday to Friday 09:00 - 17:00 excluding Bank Holidays.</w:t>
            </w:r>
            <w:r>
              <w:t xml:space="preserve">  </w:t>
            </w:r>
          </w:p>
          <w:p w14:paraId="34B08407" w14:textId="77777777" w:rsidR="00D32AFE" w:rsidRDefault="00D32AFE">
            <w:pPr>
              <w:spacing w:after="120"/>
              <w:ind w:left="95"/>
              <w:rPr>
                <w:rFonts w:ascii="Arial" w:eastAsia="Arial" w:hAnsi="Arial" w:cs="Arial"/>
                <w:sz w:val="24"/>
                <w:szCs w:val="24"/>
              </w:rPr>
            </w:pPr>
          </w:p>
        </w:tc>
        <w:tc>
          <w:tcPr>
            <w:tcW w:w="1418" w:type="dxa"/>
          </w:tcPr>
          <w:p w14:paraId="72C5C95F" w14:textId="77777777" w:rsidR="00D32AFE" w:rsidRDefault="00145B13">
            <w:pPr>
              <w:spacing w:after="120"/>
              <w:rPr>
                <w:rFonts w:ascii="Arial" w:eastAsia="Arial" w:hAnsi="Arial" w:cs="Arial"/>
                <w:sz w:val="24"/>
                <w:szCs w:val="24"/>
              </w:rPr>
            </w:pPr>
            <w:r>
              <w:rPr>
                <w:rFonts w:ascii="Arial" w:eastAsia="Arial" w:hAnsi="Arial" w:cs="Arial"/>
                <w:sz w:val="24"/>
                <w:szCs w:val="24"/>
              </w:rPr>
              <w:t>100%</w:t>
            </w:r>
          </w:p>
          <w:p w14:paraId="28CB30A2" w14:textId="77777777" w:rsidR="00D32AFE" w:rsidRDefault="00D32AFE">
            <w:pPr>
              <w:spacing w:after="120"/>
              <w:rPr>
                <w:rFonts w:ascii="Arial" w:eastAsia="Arial" w:hAnsi="Arial" w:cs="Arial"/>
                <w:sz w:val="24"/>
                <w:szCs w:val="24"/>
              </w:rPr>
            </w:pPr>
          </w:p>
        </w:tc>
        <w:tc>
          <w:tcPr>
            <w:tcW w:w="1412" w:type="dxa"/>
          </w:tcPr>
          <w:p w14:paraId="161578B7"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95%</w:t>
            </w:r>
          </w:p>
        </w:tc>
        <w:tc>
          <w:tcPr>
            <w:tcW w:w="1139" w:type="dxa"/>
          </w:tcPr>
          <w:p w14:paraId="50C4D15B"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0.5% Service Credit gained for each percentage under the specified Service Level Performance Measure</w:t>
            </w:r>
          </w:p>
        </w:tc>
        <w:tc>
          <w:tcPr>
            <w:tcW w:w="1398" w:type="dxa"/>
          </w:tcPr>
          <w:p w14:paraId="29A077D6" w14:textId="77777777" w:rsidR="00D32AFE" w:rsidRDefault="00145B13">
            <w:pPr>
              <w:spacing w:after="120"/>
              <w:ind w:left="95"/>
              <w:rPr>
                <w:rFonts w:ascii="Arial" w:eastAsia="Arial" w:hAnsi="Arial" w:cs="Arial"/>
                <w:sz w:val="24"/>
                <w:szCs w:val="24"/>
              </w:rPr>
            </w:pPr>
            <w:bookmarkStart w:id="0" w:name="_heading=h.gjdgxs" w:colFirst="0" w:colLast="0"/>
            <w:bookmarkEnd w:id="0"/>
            <w:r>
              <w:rPr>
                <w:rFonts w:ascii="Arial" w:eastAsia="Arial" w:hAnsi="Arial" w:cs="Arial"/>
              </w:rPr>
              <w:t>No</w:t>
            </w:r>
          </w:p>
        </w:tc>
      </w:tr>
      <w:tr w:rsidR="00D32AFE" w14:paraId="040801C8" w14:textId="77777777">
        <w:trPr>
          <w:trHeight w:val="1165"/>
          <w:jc w:val="center"/>
        </w:trPr>
        <w:tc>
          <w:tcPr>
            <w:tcW w:w="988" w:type="dxa"/>
          </w:tcPr>
          <w:p w14:paraId="12B97020"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SL2</w:t>
            </w:r>
          </w:p>
        </w:tc>
        <w:tc>
          <w:tcPr>
            <w:tcW w:w="2273" w:type="dxa"/>
          </w:tcPr>
          <w:p w14:paraId="6F0F42CE"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 xml:space="preserve">Catalogue requirements </w:t>
            </w:r>
          </w:p>
        </w:tc>
        <w:tc>
          <w:tcPr>
            <w:tcW w:w="3118" w:type="dxa"/>
          </w:tcPr>
          <w:p w14:paraId="3782C81B"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 xml:space="preserve">Supplier to provide quotation for listed catalogue requirements within 2 Working days. </w:t>
            </w:r>
          </w:p>
        </w:tc>
        <w:tc>
          <w:tcPr>
            <w:tcW w:w="1418" w:type="dxa"/>
          </w:tcPr>
          <w:p w14:paraId="2F43839C" w14:textId="77777777" w:rsidR="00D32AFE" w:rsidRDefault="00145B13">
            <w:pPr>
              <w:spacing w:after="120"/>
              <w:rPr>
                <w:rFonts w:ascii="Arial" w:eastAsia="Arial" w:hAnsi="Arial" w:cs="Arial"/>
                <w:sz w:val="24"/>
                <w:szCs w:val="24"/>
              </w:rPr>
            </w:pPr>
            <w:r>
              <w:rPr>
                <w:color w:val="0F0F0F"/>
                <w:sz w:val="24"/>
                <w:szCs w:val="24"/>
              </w:rPr>
              <w:t>95%</w:t>
            </w:r>
            <w:r>
              <w:rPr>
                <w:rFonts w:ascii="Arial" w:eastAsia="Arial" w:hAnsi="Arial" w:cs="Arial"/>
                <w:sz w:val="24"/>
                <w:szCs w:val="24"/>
              </w:rPr>
              <w:t xml:space="preserve"> </w:t>
            </w:r>
          </w:p>
        </w:tc>
        <w:tc>
          <w:tcPr>
            <w:tcW w:w="1412" w:type="dxa"/>
          </w:tcPr>
          <w:p w14:paraId="4C1CBC4E"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80%</w:t>
            </w:r>
          </w:p>
        </w:tc>
        <w:tc>
          <w:tcPr>
            <w:tcW w:w="1139" w:type="dxa"/>
          </w:tcPr>
          <w:p w14:paraId="0570E4DD"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 xml:space="preserve">5% Service Credit gained for each percentage under </w:t>
            </w:r>
            <w:r>
              <w:rPr>
                <w:rFonts w:ascii="Arial" w:eastAsia="Arial" w:hAnsi="Arial" w:cs="Arial"/>
                <w:sz w:val="24"/>
                <w:szCs w:val="24"/>
              </w:rPr>
              <w:lastRenderedPageBreak/>
              <w:t>the specified Service Level Performance Measure 5%</w:t>
            </w:r>
          </w:p>
        </w:tc>
        <w:tc>
          <w:tcPr>
            <w:tcW w:w="1398" w:type="dxa"/>
          </w:tcPr>
          <w:p w14:paraId="5708B4AC" w14:textId="77777777" w:rsidR="00D32AFE" w:rsidRDefault="00145B13">
            <w:pPr>
              <w:spacing w:after="120"/>
              <w:ind w:left="95"/>
              <w:rPr>
                <w:rFonts w:ascii="Arial" w:eastAsia="Arial" w:hAnsi="Arial" w:cs="Arial"/>
              </w:rPr>
            </w:pPr>
            <w:r>
              <w:rPr>
                <w:rFonts w:ascii="Arial" w:eastAsia="Arial" w:hAnsi="Arial" w:cs="Arial"/>
              </w:rPr>
              <w:lastRenderedPageBreak/>
              <w:t>Yes</w:t>
            </w:r>
          </w:p>
        </w:tc>
      </w:tr>
      <w:tr w:rsidR="00D32AFE" w14:paraId="0C3FFF80" w14:textId="77777777">
        <w:trPr>
          <w:trHeight w:val="1474"/>
          <w:jc w:val="center"/>
        </w:trPr>
        <w:tc>
          <w:tcPr>
            <w:tcW w:w="988" w:type="dxa"/>
          </w:tcPr>
          <w:p w14:paraId="4238FA39"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SL3</w:t>
            </w:r>
          </w:p>
        </w:tc>
        <w:tc>
          <w:tcPr>
            <w:tcW w:w="2273" w:type="dxa"/>
          </w:tcPr>
          <w:p w14:paraId="1EE428C3"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 xml:space="preserve">Non-Catalogue requirements </w:t>
            </w:r>
          </w:p>
        </w:tc>
        <w:tc>
          <w:tcPr>
            <w:tcW w:w="3118" w:type="dxa"/>
          </w:tcPr>
          <w:p w14:paraId="31FC8254"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Supplier to provide quotation for listed catalogue requirements within 5 Working days.</w:t>
            </w:r>
          </w:p>
        </w:tc>
        <w:tc>
          <w:tcPr>
            <w:tcW w:w="1418" w:type="dxa"/>
          </w:tcPr>
          <w:p w14:paraId="3F20A0EA" w14:textId="77777777" w:rsidR="00D32AFE" w:rsidRDefault="00145B13">
            <w:pPr>
              <w:spacing w:after="120"/>
              <w:rPr>
                <w:rFonts w:ascii="Arial" w:eastAsia="Arial" w:hAnsi="Arial" w:cs="Arial"/>
              </w:rPr>
            </w:pPr>
            <w:r>
              <w:rPr>
                <w:rFonts w:ascii="Arial" w:eastAsia="Arial" w:hAnsi="Arial" w:cs="Arial"/>
              </w:rPr>
              <w:t>95%</w:t>
            </w:r>
          </w:p>
        </w:tc>
        <w:tc>
          <w:tcPr>
            <w:tcW w:w="1412" w:type="dxa"/>
          </w:tcPr>
          <w:p w14:paraId="61CA0706"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1E7C5F1A"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2.5% Service Credit gained for each percentage under the specified Service Level Performance Measure</w:t>
            </w:r>
          </w:p>
        </w:tc>
        <w:tc>
          <w:tcPr>
            <w:tcW w:w="1398" w:type="dxa"/>
          </w:tcPr>
          <w:p w14:paraId="24592DD5" w14:textId="77777777" w:rsidR="00D32AFE" w:rsidRDefault="00145B13">
            <w:pPr>
              <w:spacing w:after="120"/>
              <w:ind w:left="95"/>
              <w:rPr>
                <w:rFonts w:ascii="Arial" w:eastAsia="Arial" w:hAnsi="Arial" w:cs="Arial"/>
              </w:rPr>
            </w:pPr>
            <w:r>
              <w:rPr>
                <w:rFonts w:ascii="Arial" w:eastAsia="Arial" w:hAnsi="Arial" w:cs="Arial"/>
              </w:rPr>
              <w:t>Yes</w:t>
            </w:r>
          </w:p>
        </w:tc>
      </w:tr>
      <w:tr w:rsidR="00D32AFE" w14:paraId="721FB6A0" w14:textId="77777777">
        <w:trPr>
          <w:trHeight w:val="1474"/>
          <w:jc w:val="center"/>
        </w:trPr>
        <w:tc>
          <w:tcPr>
            <w:tcW w:w="988" w:type="dxa"/>
          </w:tcPr>
          <w:p w14:paraId="0E39910B" w14:textId="77777777" w:rsidR="00D32AFE" w:rsidRDefault="00145B13">
            <w:pPr>
              <w:spacing w:after="120"/>
              <w:ind w:left="95"/>
              <w:rPr>
                <w:rFonts w:ascii="Arial" w:eastAsia="Arial" w:hAnsi="Arial" w:cs="Arial"/>
                <w:b/>
                <w:sz w:val="24"/>
                <w:szCs w:val="24"/>
              </w:rPr>
            </w:pPr>
            <w:r>
              <w:rPr>
                <w:rFonts w:ascii="Arial" w:eastAsia="Arial" w:hAnsi="Arial" w:cs="Arial"/>
                <w:b/>
                <w:sz w:val="24"/>
                <w:szCs w:val="24"/>
              </w:rPr>
              <w:t>SL4</w:t>
            </w:r>
          </w:p>
        </w:tc>
        <w:tc>
          <w:tcPr>
            <w:tcW w:w="2273" w:type="dxa"/>
          </w:tcPr>
          <w:p w14:paraId="517E07AC" w14:textId="77777777" w:rsidR="00D32AFE" w:rsidRDefault="00145B13">
            <w:pPr>
              <w:spacing w:after="120"/>
              <w:ind w:left="95"/>
              <w:rPr>
                <w:rFonts w:ascii="Arial" w:eastAsia="Arial" w:hAnsi="Arial" w:cs="Arial"/>
                <w:b/>
              </w:rPr>
            </w:pPr>
            <w:r>
              <w:rPr>
                <w:rFonts w:ascii="Arial" w:eastAsia="Arial" w:hAnsi="Arial" w:cs="Arial"/>
                <w:b/>
                <w:sz w:val="24"/>
                <w:szCs w:val="24"/>
              </w:rPr>
              <w:t>Attendance at Contract Management Meetings</w:t>
            </w:r>
          </w:p>
        </w:tc>
        <w:tc>
          <w:tcPr>
            <w:tcW w:w="3118" w:type="dxa"/>
          </w:tcPr>
          <w:p w14:paraId="6AF91F8F"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Supplier to attend all scheduled meetings.</w:t>
            </w:r>
            <w:r>
              <w:rPr>
                <w:rFonts w:ascii="Arial" w:eastAsia="Arial" w:hAnsi="Arial" w:cs="Arial"/>
                <w:highlight w:val="yellow"/>
              </w:rPr>
              <w:t xml:space="preserve"> </w:t>
            </w:r>
          </w:p>
        </w:tc>
        <w:tc>
          <w:tcPr>
            <w:tcW w:w="1418" w:type="dxa"/>
          </w:tcPr>
          <w:p w14:paraId="723C9520" w14:textId="40A7651F" w:rsidR="00D32AFE" w:rsidRDefault="00053F59">
            <w:pPr>
              <w:spacing w:after="120"/>
              <w:rPr>
                <w:rFonts w:ascii="Arial" w:eastAsia="Arial" w:hAnsi="Arial" w:cs="Arial"/>
              </w:rPr>
            </w:pPr>
            <w:r w:rsidRPr="002A4B0A">
              <w:rPr>
                <w:rFonts w:ascii="Arial" w:eastAsia="Arial" w:hAnsi="Arial" w:cs="Arial"/>
                <w:sz w:val="24"/>
                <w:szCs w:val="24"/>
              </w:rPr>
              <w:t>100</w:t>
            </w:r>
            <w:r w:rsidR="00145B13" w:rsidRPr="002A4B0A">
              <w:rPr>
                <w:rFonts w:ascii="Arial" w:eastAsia="Arial" w:hAnsi="Arial" w:cs="Arial"/>
                <w:sz w:val="24"/>
                <w:szCs w:val="24"/>
              </w:rPr>
              <w:t>%</w:t>
            </w:r>
          </w:p>
        </w:tc>
        <w:tc>
          <w:tcPr>
            <w:tcW w:w="1412" w:type="dxa"/>
          </w:tcPr>
          <w:p w14:paraId="1931E749"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2A829C56" w14:textId="77777777" w:rsidR="00D32AFE" w:rsidRDefault="00145B13">
            <w:pPr>
              <w:spacing w:after="120"/>
              <w:ind w:left="95"/>
              <w:rPr>
                <w:rFonts w:ascii="Arial" w:eastAsia="Arial" w:hAnsi="Arial" w:cs="Arial"/>
                <w:highlight w:val="yellow"/>
              </w:rPr>
            </w:pPr>
            <w:r>
              <w:rPr>
                <w:rFonts w:ascii="Arial" w:eastAsia="Arial" w:hAnsi="Arial" w:cs="Arial"/>
              </w:rPr>
              <w:t>N/A</w:t>
            </w:r>
          </w:p>
        </w:tc>
        <w:tc>
          <w:tcPr>
            <w:tcW w:w="1398" w:type="dxa"/>
          </w:tcPr>
          <w:p w14:paraId="6FB44749" w14:textId="77777777" w:rsidR="00D32AFE" w:rsidRDefault="00145B13">
            <w:pPr>
              <w:spacing w:after="120"/>
              <w:ind w:left="95"/>
              <w:rPr>
                <w:rFonts w:ascii="Arial" w:eastAsia="Arial" w:hAnsi="Arial" w:cs="Arial"/>
              </w:rPr>
            </w:pPr>
            <w:r>
              <w:rPr>
                <w:rFonts w:ascii="Arial" w:eastAsia="Arial" w:hAnsi="Arial" w:cs="Arial"/>
              </w:rPr>
              <w:t>N/A</w:t>
            </w:r>
          </w:p>
        </w:tc>
      </w:tr>
      <w:tr w:rsidR="00D32AFE" w14:paraId="28D01867" w14:textId="77777777">
        <w:trPr>
          <w:trHeight w:val="1474"/>
          <w:jc w:val="center"/>
        </w:trPr>
        <w:tc>
          <w:tcPr>
            <w:tcW w:w="988" w:type="dxa"/>
          </w:tcPr>
          <w:p w14:paraId="45AE02BF"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lastRenderedPageBreak/>
              <w:t>SL5</w:t>
            </w:r>
          </w:p>
        </w:tc>
        <w:tc>
          <w:tcPr>
            <w:tcW w:w="2273" w:type="dxa"/>
          </w:tcPr>
          <w:p w14:paraId="3FAC4582" w14:textId="16392368" w:rsidR="00D32AFE" w:rsidRDefault="00145B13">
            <w:pPr>
              <w:spacing w:after="120"/>
              <w:ind w:left="61"/>
              <w:rPr>
                <w:rFonts w:ascii="Arial" w:eastAsia="Arial" w:hAnsi="Arial" w:cs="Arial"/>
                <w:b/>
                <w:sz w:val="24"/>
                <w:szCs w:val="24"/>
              </w:rPr>
            </w:pPr>
            <w:r>
              <w:rPr>
                <w:rFonts w:ascii="Arial" w:eastAsia="Arial" w:hAnsi="Arial" w:cs="Arial"/>
                <w:b/>
                <w:sz w:val="24"/>
                <w:szCs w:val="24"/>
              </w:rPr>
              <w:t xml:space="preserve">Issue Acknowledgement </w:t>
            </w:r>
            <w:r w:rsidR="00053F59" w:rsidRPr="002A4B0A">
              <w:rPr>
                <w:rFonts w:ascii="Arial" w:eastAsia="Arial" w:hAnsi="Arial" w:cs="Arial"/>
                <w:b/>
                <w:sz w:val="24"/>
                <w:szCs w:val="24"/>
              </w:rPr>
              <w:t>and Resolution</w:t>
            </w:r>
            <w:r w:rsidR="00053F59">
              <w:rPr>
                <w:rFonts w:ascii="Arial" w:eastAsia="Arial" w:hAnsi="Arial" w:cs="Arial"/>
                <w:b/>
                <w:sz w:val="24"/>
                <w:szCs w:val="24"/>
              </w:rPr>
              <w:t xml:space="preserve"> </w:t>
            </w:r>
          </w:p>
        </w:tc>
        <w:tc>
          <w:tcPr>
            <w:tcW w:w="3118" w:type="dxa"/>
          </w:tcPr>
          <w:p w14:paraId="4EF36A30" w14:textId="477A362B" w:rsidR="00D32AFE" w:rsidRDefault="00145B13">
            <w:pPr>
              <w:spacing w:after="120"/>
              <w:ind w:left="95"/>
              <w:rPr>
                <w:rFonts w:ascii="Arial" w:eastAsia="Arial" w:hAnsi="Arial" w:cs="Arial"/>
                <w:sz w:val="24"/>
                <w:szCs w:val="24"/>
              </w:rPr>
            </w:pPr>
            <w:r>
              <w:rPr>
                <w:rFonts w:ascii="Arial" w:eastAsia="Arial" w:hAnsi="Arial" w:cs="Arial"/>
                <w:sz w:val="24"/>
                <w:szCs w:val="24"/>
              </w:rPr>
              <w:t>Acknowledgement of an issue within a 4-hour response time</w:t>
            </w:r>
            <w:r w:rsidR="00053F59">
              <w:rPr>
                <w:rFonts w:ascii="Arial" w:eastAsia="Arial" w:hAnsi="Arial" w:cs="Arial"/>
                <w:sz w:val="24"/>
                <w:szCs w:val="24"/>
              </w:rPr>
              <w:t xml:space="preserve"> </w:t>
            </w:r>
            <w:r w:rsidR="00053F59" w:rsidRPr="002A4B0A">
              <w:rPr>
                <w:rFonts w:ascii="Arial" w:eastAsia="Arial" w:hAnsi="Arial" w:cs="Arial"/>
                <w:sz w:val="24"/>
                <w:szCs w:val="24"/>
              </w:rPr>
              <w:t>and issue resolution within 24 hours</w:t>
            </w:r>
            <w:r w:rsidRPr="002A4B0A">
              <w:rPr>
                <w:rFonts w:ascii="Arial" w:eastAsia="Arial" w:hAnsi="Arial" w:cs="Arial"/>
                <w:sz w:val="24"/>
                <w:szCs w:val="24"/>
              </w:rPr>
              <w:t>,</w:t>
            </w:r>
            <w:r>
              <w:rPr>
                <w:rFonts w:ascii="Arial" w:eastAsia="Arial" w:hAnsi="Arial" w:cs="Arial"/>
                <w:sz w:val="24"/>
                <w:szCs w:val="24"/>
              </w:rPr>
              <w:t xml:space="preserve"> during Operational Hours. Monday to Friday 09:00 - 17:00 excluding Bank Holidays.</w:t>
            </w:r>
            <w:r>
              <w:t xml:space="preserve">  </w:t>
            </w:r>
          </w:p>
          <w:p w14:paraId="6B3D84BB" w14:textId="77777777" w:rsidR="00D32AFE" w:rsidRDefault="00D32AFE">
            <w:pPr>
              <w:spacing w:after="120"/>
              <w:ind w:left="95"/>
              <w:rPr>
                <w:rFonts w:ascii="Arial" w:eastAsia="Arial" w:hAnsi="Arial" w:cs="Arial"/>
                <w:sz w:val="24"/>
                <w:szCs w:val="24"/>
              </w:rPr>
            </w:pPr>
          </w:p>
        </w:tc>
        <w:tc>
          <w:tcPr>
            <w:tcW w:w="1418" w:type="dxa"/>
          </w:tcPr>
          <w:p w14:paraId="3219FD36" w14:textId="77777777" w:rsidR="00D32AFE" w:rsidRDefault="00145B13">
            <w:pPr>
              <w:spacing w:after="120"/>
              <w:rPr>
                <w:rFonts w:ascii="Arial" w:eastAsia="Arial" w:hAnsi="Arial" w:cs="Arial"/>
              </w:rPr>
            </w:pPr>
            <w:r>
              <w:rPr>
                <w:rFonts w:ascii="Arial" w:eastAsia="Arial" w:hAnsi="Arial" w:cs="Arial"/>
              </w:rPr>
              <w:t>95%</w:t>
            </w:r>
          </w:p>
        </w:tc>
        <w:tc>
          <w:tcPr>
            <w:tcW w:w="1412" w:type="dxa"/>
          </w:tcPr>
          <w:p w14:paraId="2A13BD16"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5249BEDF" w14:textId="77777777" w:rsidR="00D32AFE" w:rsidRDefault="00145B13">
            <w:pPr>
              <w:spacing w:after="120"/>
              <w:ind w:left="95"/>
              <w:rPr>
                <w:rFonts w:ascii="Arial" w:eastAsia="Arial" w:hAnsi="Arial" w:cs="Arial"/>
              </w:rPr>
            </w:pPr>
            <w:r>
              <w:rPr>
                <w:rFonts w:ascii="Arial" w:eastAsia="Arial" w:hAnsi="Arial" w:cs="Arial"/>
                <w:sz w:val="24"/>
                <w:szCs w:val="24"/>
              </w:rPr>
              <w:t>0.5% Service Credit gained for each percentage under the specified Service Level Performance Measure</w:t>
            </w:r>
          </w:p>
        </w:tc>
        <w:tc>
          <w:tcPr>
            <w:tcW w:w="1398" w:type="dxa"/>
          </w:tcPr>
          <w:p w14:paraId="722C4E98" w14:textId="77777777" w:rsidR="00D32AFE" w:rsidRDefault="00145B13">
            <w:pPr>
              <w:spacing w:after="120"/>
              <w:ind w:left="95"/>
              <w:rPr>
                <w:rFonts w:ascii="Arial" w:eastAsia="Arial" w:hAnsi="Arial" w:cs="Arial"/>
              </w:rPr>
            </w:pPr>
            <w:r>
              <w:rPr>
                <w:rFonts w:ascii="Arial" w:eastAsia="Arial" w:hAnsi="Arial" w:cs="Arial"/>
              </w:rPr>
              <w:t>No</w:t>
            </w:r>
          </w:p>
        </w:tc>
      </w:tr>
      <w:tr w:rsidR="00D32AFE" w14:paraId="0E458AA8" w14:textId="77777777">
        <w:trPr>
          <w:trHeight w:val="1474"/>
          <w:jc w:val="center"/>
        </w:trPr>
        <w:tc>
          <w:tcPr>
            <w:tcW w:w="988" w:type="dxa"/>
          </w:tcPr>
          <w:p w14:paraId="5244F292"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SL6</w:t>
            </w:r>
          </w:p>
        </w:tc>
        <w:tc>
          <w:tcPr>
            <w:tcW w:w="2273" w:type="dxa"/>
          </w:tcPr>
          <w:p w14:paraId="3A1AABFF"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 xml:space="preserve">Ad hoc Reports </w:t>
            </w:r>
          </w:p>
        </w:tc>
        <w:tc>
          <w:tcPr>
            <w:tcW w:w="3118" w:type="dxa"/>
          </w:tcPr>
          <w:p w14:paraId="2C453120"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 xml:space="preserve">Supplier to provide Buyer with ad hoc report within 5 working days. </w:t>
            </w:r>
          </w:p>
        </w:tc>
        <w:tc>
          <w:tcPr>
            <w:tcW w:w="1418" w:type="dxa"/>
          </w:tcPr>
          <w:p w14:paraId="757A6A25" w14:textId="77777777" w:rsidR="00D32AFE" w:rsidRDefault="00145B13">
            <w:pPr>
              <w:spacing w:after="120"/>
              <w:rPr>
                <w:rFonts w:ascii="Arial" w:eastAsia="Arial" w:hAnsi="Arial" w:cs="Arial"/>
              </w:rPr>
            </w:pPr>
            <w:r>
              <w:rPr>
                <w:rFonts w:ascii="Arial" w:eastAsia="Arial" w:hAnsi="Arial" w:cs="Arial"/>
              </w:rPr>
              <w:t>95%</w:t>
            </w:r>
          </w:p>
        </w:tc>
        <w:tc>
          <w:tcPr>
            <w:tcW w:w="1412" w:type="dxa"/>
          </w:tcPr>
          <w:p w14:paraId="7446FF41"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62BB5D84" w14:textId="77777777" w:rsidR="00D32AFE" w:rsidRDefault="00145B13">
            <w:pPr>
              <w:spacing w:after="120"/>
              <w:ind w:left="95"/>
              <w:rPr>
                <w:rFonts w:ascii="Arial" w:eastAsia="Arial" w:hAnsi="Arial" w:cs="Arial"/>
                <w:highlight w:val="yellow"/>
              </w:rPr>
            </w:pPr>
            <w:r>
              <w:rPr>
                <w:rFonts w:ascii="Arial" w:eastAsia="Arial" w:hAnsi="Arial" w:cs="Arial"/>
              </w:rPr>
              <w:t>N/A</w:t>
            </w:r>
          </w:p>
        </w:tc>
        <w:tc>
          <w:tcPr>
            <w:tcW w:w="1398" w:type="dxa"/>
          </w:tcPr>
          <w:p w14:paraId="48FF895D" w14:textId="77777777" w:rsidR="00D32AFE" w:rsidRDefault="00145B13">
            <w:pPr>
              <w:spacing w:after="120"/>
              <w:ind w:left="95"/>
              <w:rPr>
                <w:rFonts w:ascii="Arial" w:eastAsia="Arial" w:hAnsi="Arial" w:cs="Arial"/>
              </w:rPr>
            </w:pPr>
            <w:r>
              <w:rPr>
                <w:rFonts w:ascii="Arial" w:eastAsia="Arial" w:hAnsi="Arial" w:cs="Arial"/>
              </w:rPr>
              <w:t>N/A</w:t>
            </w:r>
          </w:p>
        </w:tc>
      </w:tr>
      <w:tr w:rsidR="00D32AFE" w14:paraId="3F22A39B" w14:textId="77777777">
        <w:trPr>
          <w:trHeight w:val="1474"/>
          <w:jc w:val="center"/>
        </w:trPr>
        <w:tc>
          <w:tcPr>
            <w:tcW w:w="988" w:type="dxa"/>
          </w:tcPr>
          <w:p w14:paraId="1CE508A7"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SL7</w:t>
            </w:r>
          </w:p>
        </w:tc>
        <w:tc>
          <w:tcPr>
            <w:tcW w:w="2273" w:type="dxa"/>
          </w:tcPr>
          <w:p w14:paraId="1989BC4C" w14:textId="77777777" w:rsidR="00D32AFE" w:rsidRDefault="00145B13">
            <w:pPr>
              <w:spacing w:after="120"/>
              <w:ind w:left="61"/>
            </w:pPr>
            <w:r>
              <w:rPr>
                <w:rFonts w:ascii="Arial" w:eastAsia="Arial" w:hAnsi="Arial" w:cs="Arial"/>
                <w:b/>
                <w:sz w:val="24"/>
                <w:szCs w:val="24"/>
              </w:rPr>
              <w:t>Financial Reports</w:t>
            </w:r>
            <w:r>
              <w:t xml:space="preserve"> </w:t>
            </w:r>
          </w:p>
        </w:tc>
        <w:tc>
          <w:tcPr>
            <w:tcW w:w="3118" w:type="dxa"/>
          </w:tcPr>
          <w:p w14:paraId="540969FA"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 xml:space="preserve">Supplier to provide finance reports within 5 working days of month end.  </w:t>
            </w:r>
          </w:p>
          <w:p w14:paraId="083388C5" w14:textId="7102A89C" w:rsidR="00D32AFE" w:rsidRPr="00F56642" w:rsidRDefault="00145B13" w:rsidP="00866279">
            <w:pPr>
              <w:spacing w:after="120"/>
              <w:ind w:left="95"/>
              <w:rPr>
                <w:rFonts w:ascii="Arial" w:eastAsia="Arial" w:hAnsi="Arial" w:cs="Arial"/>
                <w:sz w:val="24"/>
                <w:szCs w:val="24"/>
              </w:rPr>
            </w:pPr>
            <w:proofErr w:type="gramStart"/>
            <w:r w:rsidRPr="00F56642">
              <w:rPr>
                <w:rFonts w:ascii="Arial" w:eastAsia="Arial" w:hAnsi="Arial" w:cs="Arial"/>
                <w:sz w:val="24"/>
                <w:szCs w:val="24"/>
              </w:rPr>
              <w:t>E.g.</w:t>
            </w:r>
            <w:proofErr w:type="gramEnd"/>
            <w:r w:rsidRPr="00F56642">
              <w:rPr>
                <w:rFonts w:ascii="Arial" w:eastAsia="Arial" w:hAnsi="Arial" w:cs="Arial"/>
                <w:sz w:val="24"/>
                <w:szCs w:val="24"/>
              </w:rPr>
              <w:t xml:space="preserve"> spend to date against TCV</w:t>
            </w:r>
          </w:p>
        </w:tc>
        <w:tc>
          <w:tcPr>
            <w:tcW w:w="1418" w:type="dxa"/>
          </w:tcPr>
          <w:p w14:paraId="3C12A517" w14:textId="77777777" w:rsidR="00D32AFE" w:rsidRDefault="00145B13">
            <w:pPr>
              <w:spacing w:after="120"/>
              <w:rPr>
                <w:rFonts w:ascii="Arial" w:eastAsia="Arial" w:hAnsi="Arial" w:cs="Arial"/>
              </w:rPr>
            </w:pPr>
            <w:r>
              <w:rPr>
                <w:rFonts w:ascii="Arial" w:eastAsia="Arial" w:hAnsi="Arial" w:cs="Arial"/>
              </w:rPr>
              <w:t>95%</w:t>
            </w:r>
          </w:p>
        </w:tc>
        <w:tc>
          <w:tcPr>
            <w:tcW w:w="1412" w:type="dxa"/>
          </w:tcPr>
          <w:p w14:paraId="32542DAF"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6269739B"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 xml:space="preserve">0.5% Service Credit gained for each percentage under </w:t>
            </w:r>
            <w:r>
              <w:rPr>
                <w:rFonts w:ascii="Arial" w:eastAsia="Arial" w:hAnsi="Arial" w:cs="Arial"/>
                <w:sz w:val="24"/>
                <w:szCs w:val="24"/>
              </w:rPr>
              <w:lastRenderedPageBreak/>
              <w:t>the specified Service Level Performance Measure</w:t>
            </w:r>
          </w:p>
        </w:tc>
        <w:tc>
          <w:tcPr>
            <w:tcW w:w="1398" w:type="dxa"/>
          </w:tcPr>
          <w:p w14:paraId="0284E3C5" w14:textId="77777777" w:rsidR="00D32AFE" w:rsidRDefault="00145B13">
            <w:pPr>
              <w:spacing w:after="120"/>
              <w:ind w:left="95"/>
              <w:rPr>
                <w:rFonts w:ascii="Arial" w:eastAsia="Arial" w:hAnsi="Arial" w:cs="Arial"/>
              </w:rPr>
            </w:pPr>
            <w:r>
              <w:rPr>
                <w:rFonts w:ascii="Arial" w:eastAsia="Arial" w:hAnsi="Arial" w:cs="Arial"/>
              </w:rPr>
              <w:lastRenderedPageBreak/>
              <w:t>No</w:t>
            </w:r>
          </w:p>
        </w:tc>
      </w:tr>
      <w:tr w:rsidR="00D32AFE" w14:paraId="69939A85" w14:textId="77777777">
        <w:trPr>
          <w:trHeight w:val="1474"/>
          <w:jc w:val="center"/>
        </w:trPr>
        <w:tc>
          <w:tcPr>
            <w:tcW w:w="988" w:type="dxa"/>
          </w:tcPr>
          <w:p w14:paraId="2EEB3D24"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SL8</w:t>
            </w:r>
          </w:p>
        </w:tc>
        <w:tc>
          <w:tcPr>
            <w:tcW w:w="2273" w:type="dxa"/>
          </w:tcPr>
          <w:p w14:paraId="119551AB"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Performance Reporting</w:t>
            </w:r>
          </w:p>
        </w:tc>
        <w:tc>
          <w:tcPr>
            <w:tcW w:w="3118" w:type="dxa"/>
          </w:tcPr>
          <w:p w14:paraId="286ABA74"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 xml:space="preserve">Supplier to provide performance reports within 5 working days of month end.  </w:t>
            </w:r>
          </w:p>
          <w:p w14:paraId="217FC9DC" w14:textId="77777777" w:rsidR="00D32AFE" w:rsidRDefault="00D32AFE">
            <w:pPr>
              <w:spacing w:after="120"/>
              <w:ind w:left="95"/>
              <w:rPr>
                <w:rFonts w:ascii="Arial" w:eastAsia="Arial" w:hAnsi="Arial" w:cs="Arial"/>
                <w:sz w:val="24"/>
                <w:szCs w:val="24"/>
              </w:rPr>
            </w:pPr>
          </w:p>
        </w:tc>
        <w:tc>
          <w:tcPr>
            <w:tcW w:w="1418" w:type="dxa"/>
          </w:tcPr>
          <w:p w14:paraId="3E6FCEF8" w14:textId="77777777" w:rsidR="00D32AFE" w:rsidRDefault="00145B13">
            <w:pPr>
              <w:spacing w:after="120"/>
              <w:rPr>
                <w:rFonts w:ascii="Arial" w:eastAsia="Arial" w:hAnsi="Arial" w:cs="Arial"/>
              </w:rPr>
            </w:pPr>
            <w:r>
              <w:rPr>
                <w:rFonts w:ascii="Arial" w:eastAsia="Arial" w:hAnsi="Arial" w:cs="Arial"/>
              </w:rPr>
              <w:t>95%</w:t>
            </w:r>
          </w:p>
        </w:tc>
        <w:tc>
          <w:tcPr>
            <w:tcW w:w="1412" w:type="dxa"/>
          </w:tcPr>
          <w:p w14:paraId="6263D5F6"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2B141E5A"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0.5% Service Credit gained for each percentage under the specified Service Level Performance Measure</w:t>
            </w:r>
          </w:p>
        </w:tc>
        <w:tc>
          <w:tcPr>
            <w:tcW w:w="1398" w:type="dxa"/>
          </w:tcPr>
          <w:p w14:paraId="3DDD3052" w14:textId="77777777" w:rsidR="00D32AFE" w:rsidRDefault="00145B13">
            <w:pPr>
              <w:spacing w:after="120"/>
              <w:ind w:left="95"/>
              <w:rPr>
                <w:rFonts w:ascii="Arial" w:eastAsia="Arial" w:hAnsi="Arial" w:cs="Arial"/>
              </w:rPr>
            </w:pPr>
            <w:r>
              <w:rPr>
                <w:rFonts w:ascii="Arial" w:eastAsia="Arial" w:hAnsi="Arial" w:cs="Arial"/>
              </w:rPr>
              <w:t>No</w:t>
            </w:r>
          </w:p>
        </w:tc>
      </w:tr>
      <w:tr w:rsidR="00D32AFE" w14:paraId="4852DDDC" w14:textId="77777777">
        <w:trPr>
          <w:trHeight w:val="1474"/>
          <w:jc w:val="center"/>
        </w:trPr>
        <w:tc>
          <w:tcPr>
            <w:tcW w:w="988" w:type="dxa"/>
          </w:tcPr>
          <w:p w14:paraId="5E9BCD43"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SL9</w:t>
            </w:r>
          </w:p>
        </w:tc>
        <w:tc>
          <w:tcPr>
            <w:tcW w:w="2273" w:type="dxa"/>
          </w:tcPr>
          <w:p w14:paraId="1A1E613A" w14:textId="77777777" w:rsidR="00D32AFE" w:rsidRDefault="00145B13">
            <w:pPr>
              <w:spacing w:after="120"/>
              <w:ind w:left="61"/>
            </w:pPr>
            <w:r>
              <w:rPr>
                <w:rFonts w:ascii="Arial" w:eastAsia="Arial" w:hAnsi="Arial" w:cs="Arial"/>
                <w:b/>
                <w:sz w:val="24"/>
                <w:szCs w:val="24"/>
              </w:rPr>
              <w:t>Complaint Process</w:t>
            </w:r>
            <w:r>
              <w:t xml:space="preserve"> </w:t>
            </w:r>
          </w:p>
        </w:tc>
        <w:tc>
          <w:tcPr>
            <w:tcW w:w="3118" w:type="dxa"/>
          </w:tcPr>
          <w:p w14:paraId="1A84B867"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Supplier to respond formally within 5 working days of a complaint received from buyer.</w:t>
            </w:r>
            <w:r>
              <w:rPr>
                <w:rFonts w:ascii="Arial" w:eastAsia="Arial" w:hAnsi="Arial" w:cs="Arial"/>
                <w:highlight w:val="yellow"/>
              </w:rPr>
              <w:t xml:space="preserve"> </w:t>
            </w:r>
          </w:p>
        </w:tc>
        <w:tc>
          <w:tcPr>
            <w:tcW w:w="1418" w:type="dxa"/>
          </w:tcPr>
          <w:p w14:paraId="70A30216" w14:textId="77777777" w:rsidR="00D32AFE" w:rsidRDefault="00145B13">
            <w:pPr>
              <w:spacing w:after="120"/>
              <w:rPr>
                <w:rFonts w:ascii="Arial" w:eastAsia="Arial" w:hAnsi="Arial" w:cs="Arial"/>
              </w:rPr>
            </w:pPr>
            <w:r>
              <w:rPr>
                <w:rFonts w:ascii="Arial" w:eastAsia="Arial" w:hAnsi="Arial" w:cs="Arial"/>
              </w:rPr>
              <w:t>95%</w:t>
            </w:r>
          </w:p>
        </w:tc>
        <w:tc>
          <w:tcPr>
            <w:tcW w:w="1412" w:type="dxa"/>
          </w:tcPr>
          <w:p w14:paraId="3893E873"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1D495155"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 xml:space="preserve">0.5% Service Credit gained for </w:t>
            </w:r>
            <w:r>
              <w:rPr>
                <w:rFonts w:ascii="Arial" w:eastAsia="Arial" w:hAnsi="Arial" w:cs="Arial"/>
                <w:sz w:val="24"/>
                <w:szCs w:val="24"/>
              </w:rPr>
              <w:lastRenderedPageBreak/>
              <w:t>each percentage under the specified Service Level Performance Measure</w:t>
            </w:r>
          </w:p>
        </w:tc>
        <w:tc>
          <w:tcPr>
            <w:tcW w:w="1398" w:type="dxa"/>
          </w:tcPr>
          <w:p w14:paraId="20C1DD48" w14:textId="77777777" w:rsidR="00D32AFE" w:rsidRDefault="00145B13">
            <w:pPr>
              <w:spacing w:after="120"/>
              <w:ind w:left="95"/>
              <w:rPr>
                <w:rFonts w:ascii="Arial" w:eastAsia="Arial" w:hAnsi="Arial" w:cs="Arial"/>
              </w:rPr>
            </w:pPr>
            <w:r>
              <w:rPr>
                <w:rFonts w:ascii="Arial" w:eastAsia="Arial" w:hAnsi="Arial" w:cs="Arial"/>
              </w:rPr>
              <w:lastRenderedPageBreak/>
              <w:t>No</w:t>
            </w:r>
          </w:p>
        </w:tc>
      </w:tr>
      <w:tr w:rsidR="00D32AFE" w14:paraId="6E858581" w14:textId="77777777">
        <w:trPr>
          <w:trHeight w:val="1474"/>
          <w:jc w:val="center"/>
        </w:trPr>
        <w:tc>
          <w:tcPr>
            <w:tcW w:w="988" w:type="dxa"/>
          </w:tcPr>
          <w:p w14:paraId="2E161E6F"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SL10</w:t>
            </w:r>
          </w:p>
        </w:tc>
        <w:tc>
          <w:tcPr>
            <w:tcW w:w="2273" w:type="dxa"/>
          </w:tcPr>
          <w:p w14:paraId="219A562D" w14:textId="77777777" w:rsidR="00D32AFE" w:rsidRDefault="00145B13">
            <w:pPr>
              <w:spacing w:after="120"/>
              <w:ind w:left="61"/>
            </w:pPr>
            <w:r>
              <w:rPr>
                <w:rFonts w:ascii="Arial" w:eastAsia="Arial" w:hAnsi="Arial" w:cs="Arial"/>
                <w:b/>
                <w:sz w:val="24"/>
                <w:szCs w:val="24"/>
              </w:rPr>
              <w:t>Attendance at request with Stakeholder or Manufacturer Meetings</w:t>
            </w:r>
            <w:r>
              <w:t xml:space="preserve"> </w:t>
            </w:r>
          </w:p>
        </w:tc>
        <w:tc>
          <w:tcPr>
            <w:tcW w:w="3118" w:type="dxa"/>
          </w:tcPr>
          <w:p w14:paraId="38E8CB9F" w14:textId="77777777" w:rsidR="00D32AFE" w:rsidRDefault="00145B13">
            <w:pPr>
              <w:spacing w:after="120"/>
              <w:ind w:left="95"/>
              <w:rPr>
                <w:rFonts w:ascii="Arial" w:eastAsia="Arial" w:hAnsi="Arial" w:cs="Arial"/>
                <w:sz w:val="24"/>
                <w:szCs w:val="24"/>
              </w:rPr>
            </w:pPr>
            <w:r>
              <w:rPr>
                <w:rFonts w:ascii="Arial" w:eastAsia="Arial" w:hAnsi="Arial" w:cs="Arial"/>
                <w:sz w:val="24"/>
                <w:szCs w:val="24"/>
              </w:rPr>
              <w:t xml:space="preserve">Supplier to accompany buyer at stakeholder or manufacturer meetings as and when requested to do so. </w:t>
            </w:r>
          </w:p>
        </w:tc>
        <w:tc>
          <w:tcPr>
            <w:tcW w:w="1418" w:type="dxa"/>
          </w:tcPr>
          <w:p w14:paraId="55D87358" w14:textId="0B4ACA5A" w:rsidR="00D32AFE" w:rsidRDefault="009D1324">
            <w:pPr>
              <w:spacing w:after="120"/>
              <w:rPr>
                <w:rFonts w:ascii="Arial" w:eastAsia="Arial" w:hAnsi="Arial" w:cs="Arial"/>
              </w:rPr>
            </w:pPr>
            <w:r w:rsidRPr="002A4B0A">
              <w:rPr>
                <w:rFonts w:ascii="Arial" w:eastAsia="Arial" w:hAnsi="Arial" w:cs="Arial"/>
                <w:sz w:val="24"/>
                <w:szCs w:val="24"/>
              </w:rPr>
              <w:t>100</w:t>
            </w:r>
            <w:r w:rsidR="00145B13" w:rsidRPr="002A4B0A">
              <w:rPr>
                <w:rFonts w:ascii="Arial" w:eastAsia="Arial" w:hAnsi="Arial" w:cs="Arial"/>
                <w:sz w:val="24"/>
                <w:szCs w:val="24"/>
              </w:rPr>
              <w:t>%</w:t>
            </w:r>
          </w:p>
        </w:tc>
        <w:tc>
          <w:tcPr>
            <w:tcW w:w="1412" w:type="dxa"/>
          </w:tcPr>
          <w:p w14:paraId="6BCDD5FA"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5296BDF2" w14:textId="77777777" w:rsidR="00D32AFE" w:rsidRDefault="00145B13">
            <w:pPr>
              <w:spacing w:after="120"/>
              <w:ind w:left="95"/>
              <w:rPr>
                <w:rFonts w:ascii="Arial" w:eastAsia="Arial" w:hAnsi="Arial" w:cs="Arial"/>
                <w:highlight w:val="yellow"/>
              </w:rPr>
            </w:pPr>
            <w:r>
              <w:rPr>
                <w:rFonts w:ascii="Arial" w:eastAsia="Arial" w:hAnsi="Arial" w:cs="Arial"/>
              </w:rPr>
              <w:t>N/A</w:t>
            </w:r>
          </w:p>
        </w:tc>
        <w:tc>
          <w:tcPr>
            <w:tcW w:w="1398" w:type="dxa"/>
          </w:tcPr>
          <w:p w14:paraId="7C01DCEE" w14:textId="77777777" w:rsidR="00D32AFE" w:rsidRDefault="00145B13">
            <w:pPr>
              <w:spacing w:after="120"/>
              <w:ind w:left="95"/>
              <w:rPr>
                <w:rFonts w:ascii="Arial" w:eastAsia="Arial" w:hAnsi="Arial" w:cs="Arial"/>
              </w:rPr>
            </w:pPr>
            <w:r>
              <w:rPr>
                <w:rFonts w:ascii="Arial" w:eastAsia="Arial" w:hAnsi="Arial" w:cs="Arial"/>
              </w:rPr>
              <w:t xml:space="preserve">N/A </w:t>
            </w:r>
          </w:p>
        </w:tc>
      </w:tr>
      <w:tr w:rsidR="00D32AFE" w14:paraId="67AECFD6" w14:textId="77777777">
        <w:trPr>
          <w:trHeight w:val="1474"/>
          <w:jc w:val="center"/>
        </w:trPr>
        <w:tc>
          <w:tcPr>
            <w:tcW w:w="988" w:type="dxa"/>
          </w:tcPr>
          <w:p w14:paraId="135F8733" w14:textId="77777777" w:rsidR="00D32AFE" w:rsidRDefault="00145B13">
            <w:pPr>
              <w:spacing w:after="120"/>
              <w:ind w:left="61"/>
              <w:rPr>
                <w:rFonts w:ascii="Arial" w:eastAsia="Arial" w:hAnsi="Arial" w:cs="Arial"/>
                <w:b/>
                <w:sz w:val="24"/>
                <w:szCs w:val="24"/>
              </w:rPr>
            </w:pPr>
            <w:r>
              <w:rPr>
                <w:rFonts w:ascii="Arial" w:eastAsia="Arial" w:hAnsi="Arial" w:cs="Arial"/>
                <w:b/>
                <w:sz w:val="24"/>
                <w:szCs w:val="24"/>
              </w:rPr>
              <w:t>SL11</w:t>
            </w:r>
          </w:p>
        </w:tc>
        <w:tc>
          <w:tcPr>
            <w:tcW w:w="2273" w:type="dxa"/>
          </w:tcPr>
          <w:p w14:paraId="52D26134" w14:textId="77777777" w:rsidR="00D32AFE" w:rsidRDefault="00145B13">
            <w:pPr>
              <w:spacing w:after="120"/>
              <w:ind w:left="61"/>
            </w:pPr>
            <w:r>
              <w:rPr>
                <w:rFonts w:ascii="Arial" w:eastAsia="Arial" w:hAnsi="Arial" w:cs="Arial"/>
                <w:b/>
                <w:sz w:val="24"/>
                <w:szCs w:val="24"/>
              </w:rPr>
              <w:t>Social Value</w:t>
            </w:r>
            <w:r>
              <w:t xml:space="preserve"> </w:t>
            </w:r>
          </w:p>
        </w:tc>
        <w:tc>
          <w:tcPr>
            <w:tcW w:w="3118" w:type="dxa"/>
          </w:tcPr>
          <w:p w14:paraId="6BE7F223"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Supplier to provide update quarterly as part of the performance review meeting on Social Value Commitments.</w:t>
            </w:r>
            <w:r>
              <w:rPr>
                <w:rFonts w:ascii="Arial" w:eastAsia="Arial" w:hAnsi="Arial" w:cs="Arial"/>
                <w:highlight w:val="yellow"/>
              </w:rPr>
              <w:t xml:space="preserve">  </w:t>
            </w:r>
          </w:p>
        </w:tc>
        <w:tc>
          <w:tcPr>
            <w:tcW w:w="1418" w:type="dxa"/>
          </w:tcPr>
          <w:p w14:paraId="3C411849" w14:textId="77777777" w:rsidR="00D32AFE" w:rsidRDefault="00145B13">
            <w:pPr>
              <w:spacing w:after="120"/>
              <w:rPr>
                <w:rFonts w:ascii="Arial" w:eastAsia="Arial" w:hAnsi="Arial" w:cs="Arial"/>
              </w:rPr>
            </w:pPr>
            <w:r>
              <w:rPr>
                <w:rFonts w:ascii="Arial" w:eastAsia="Arial" w:hAnsi="Arial" w:cs="Arial"/>
              </w:rPr>
              <w:t>100%</w:t>
            </w:r>
          </w:p>
        </w:tc>
        <w:tc>
          <w:tcPr>
            <w:tcW w:w="1412" w:type="dxa"/>
          </w:tcPr>
          <w:p w14:paraId="284D6DD4" w14:textId="77777777" w:rsidR="00D32AFE" w:rsidRDefault="00145B13">
            <w:pPr>
              <w:spacing w:after="120"/>
              <w:ind w:left="95"/>
              <w:rPr>
                <w:rFonts w:ascii="Arial" w:eastAsia="Arial" w:hAnsi="Arial" w:cs="Arial"/>
              </w:rPr>
            </w:pPr>
            <w:r>
              <w:rPr>
                <w:rFonts w:ascii="Arial" w:eastAsia="Arial" w:hAnsi="Arial" w:cs="Arial"/>
              </w:rPr>
              <w:t>80%</w:t>
            </w:r>
          </w:p>
        </w:tc>
        <w:tc>
          <w:tcPr>
            <w:tcW w:w="1139" w:type="dxa"/>
          </w:tcPr>
          <w:p w14:paraId="3D7B3888" w14:textId="77777777" w:rsidR="00D32AFE" w:rsidRDefault="00145B13">
            <w:pPr>
              <w:spacing w:after="120"/>
              <w:ind w:left="95"/>
              <w:rPr>
                <w:rFonts w:ascii="Arial" w:eastAsia="Arial" w:hAnsi="Arial" w:cs="Arial"/>
                <w:highlight w:val="yellow"/>
              </w:rPr>
            </w:pPr>
            <w:r>
              <w:rPr>
                <w:rFonts w:ascii="Arial" w:eastAsia="Arial" w:hAnsi="Arial" w:cs="Arial"/>
                <w:sz w:val="24"/>
                <w:szCs w:val="24"/>
              </w:rPr>
              <w:t xml:space="preserve">2.5% Service Credit gained for each percentage under the specified Service Level </w:t>
            </w:r>
            <w:r>
              <w:rPr>
                <w:rFonts w:ascii="Arial" w:eastAsia="Arial" w:hAnsi="Arial" w:cs="Arial"/>
                <w:sz w:val="24"/>
                <w:szCs w:val="24"/>
              </w:rPr>
              <w:lastRenderedPageBreak/>
              <w:t>Performance Measure</w:t>
            </w:r>
          </w:p>
        </w:tc>
        <w:tc>
          <w:tcPr>
            <w:tcW w:w="1398" w:type="dxa"/>
          </w:tcPr>
          <w:p w14:paraId="3B347D11" w14:textId="77777777" w:rsidR="00D32AFE" w:rsidRDefault="00145B13">
            <w:pPr>
              <w:spacing w:after="120"/>
              <w:ind w:left="95"/>
              <w:rPr>
                <w:rFonts w:ascii="Arial" w:eastAsia="Arial" w:hAnsi="Arial" w:cs="Arial"/>
              </w:rPr>
            </w:pPr>
            <w:r>
              <w:rPr>
                <w:rFonts w:ascii="Arial" w:eastAsia="Arial" w:hAnsi="Arial" w:cs="Arial"/>
              </w:rPr>
              <w:lastRenderedPageBreak/>
              <w:t>Yes</w:t>
            </w:r>
          </w:p>
        </w:tc>
      </w:tr>
    </w:tbl>
    <w:p w14:paraId="38683CB4" w14:textId="77777777" w:rsidR="00D32AFE" w:rsidRDefault="00D32AFE">
      <w:pPr>
        <w:ind w:left="709"/>
        <w:rPr>
          <w:rFonts w:ascii="Arial" w:eastAsia="Arial" w:hAnsi="Arial" w:cs="Arial"/>
          <w:sz w:val="24"/>
          <w:szCs w:val="24"/>
          <w:highlight w:val="green"/>
        </w:rPr>
      </w:pPr>
    </w:p>
    <w:p w14:paraId="11ED97D1" w14:textId="77777777" w:rsidR="00D32AFE" w:rsidRDefault="00145B13">
      <w:pPr>
        <w:ind w:left="709"/>
        <w:rPr>
          <w:rFonts w:ascii="Arial" w:eastAsia="Arial" w:hAnsi="Arial" w:cs="Arial"/>
          <w:sz w:val="24"/>
          <w:szCs w:val="24"/>
        </w:rPr>
      </w:pPr>
      <w:r>
        <w:rPr>
          <w:rFonts w:ascii="Arial" w:eastAsia="Arial" w:hAnsi="Arial" w:cs="Arial"/>
          <w:sz w:val="24"/>
          <w:szCs w:val="24"/>
        </w:rPr>
        <w:t>The Service Credits shall be calculated on the basis of the following formula:</w:t>
      </w:r>
    </w:p>
    <w:p w14:paraId="62E5D8E8" w14:textId="77777777" w:rsidR="00D32AFE" w:rsidRDefault="00145B13">
      <w:pPr>
        <w:ind w:left="709"/>
        <w:rPr>
          <w:rFonts w:ascii="Arial" w:eastAsia="Arial" w:hAnsi="Arial" w:cs="Arial"/>
          <w:sz w:val="24"/>
          <w:szCs w:val="24"/>
          <w:highlight w:val="yellow"/>
        </w:rPr>
      </w:pPr>
      <w:r>
        <w:rPr>
          <w:rFonts w:ascii="Arial" w:eastAsia="Arial" w:hAnsi="Arial" w:cs="Arial"/>
          <w:sz w:val="24"/>
          <w:szCs w:val="24"/>
        </w:rPr>
        <w:t>Example:</w:t>
      </w:r>
    </w:p>
    <w:tbl>
      <w:tblPr>
        <w:tblStyle w:val="a4"/>
        <w:tblW w:w="9026" w:type="dxa"/>
        <w:tblLayout w:type="fixed"/>
        <w:tblLook w:val="0000" w:firstRow="0" w:lastRow="0" w:firstColumn="0" w:lastColumn="0" w:noHBand="0" w:noVBand="0"/>
      </w:tblPr>
      <w:tblGrid>
        <w:gridCol w:w="4375"/>
        <w:gridCol w:w="685"/>
        <w:gridCol w:w="3966"/>
      </w:tblGrid>
      <w:tr w:rsidR="00D32AFE" w14:paraId="2CD5D2E4" w14:textId="77777777">
        <w:tc>
          <w:tcPr>
            <w:tcW w:w="4375" w:type="dxa"/>
          </w:tcPr>
          <w:p w14:paraId="26BF2E06" w14:textId="77777777" w:rsidR="00D32AFE" w:rsidRDefault="00145B13">
            <w:pPr>
              <w:ind w:left="567"/>
              <w:rPr>
                <w:rFonts w:ascii="Arial" w:eastAsia="Arial" w:hAnsi="Arial" w:cs="Arial"/>
                <w:sz w:val="24"/>
                <w:szCs w:val="24"/>
              </w:rPr>
            </w:pPr>
            <w:r>
              <w:rPr>
                <w:rFonts w:ascii="Arial" w:eastAsia="Arial" w:hAnsi="Arial" w:cs="Arial"/>
                <w:sz w:val="24"/>
                <w:szCs w:val="24"/>
              </w:rPr>
              <w:t xml:space="preserve">Formula: x% (Service Level Performance Measure) - x% (actual Service Level performance)  </w:t>
            </w:r>
          </w:p>
        </w:tc>
        <w:tc>
          <w:tcPr>
            <w:tcW w:w="685" w:type="dxa"/>
          </w:tcPr>
          <w:p w14:paraId="0F556BAF" w14:textId="77777777" w:rsidR="00D32AFE" w:rsidRDefault="00145B13">
            <w:pPr>
              <w:ind w:left="211"/>
              <w:rPr>
                <w:rFonts w:ascii="Arial" w:eastAsia="Arial" w:hAnsi="Arial" w:cs="Arial"/>
                <w:sz w:val="24"/>
                <w:szCs w:val="24"/>
              </w:rPr>
            </w:pPr>
            <w:r>
              <w:rPr>
                <w:rFonts w:ascii="Arial" w:eastAsia="Arial" w:hAnsi="Arial" w:cs="Arial"/>
                <w:sz w:val="24"/>
                <w:szCs w:val="24"/>
              </w:rPr>
              <w:t>=</w:t>
            </w:r>
          </w:p>
        </w:tc>
        <w:tc>
          <w:tcPr>
            <w:tcW w:w="3966" w:type="dxa"/>
          </w:tcPr>
          <w:p w14:paraId="5B10C155" w14:textId="77777777" w:rsidR="00D32AFE" w:rsidRDefault="00145B13">
            <w:pPr>
              <w:ind w:left="145"/>
              <w:rPr>
                <w:rFonts w:ascii="Arial" w:eastAsia="Arial" w:hAnsi="Arial" w:cs="Arial"/>
                <w:sz w:val="24"/>
                <w:szCs w:val="24"/>
              </w:rPr>
            </w:pPr>
            <w:r>
              <w:rPr>
                <w:rFonts w:ascii="Arial" w:eastAsia="Arial" w:hAnsi="Arial" w:cs="Arial"/>
                <w:sz w:val="24"/>
                <w:szCs w:val="24"/>
              </w:rPr>
              <w:t>x% of the Charges payable to the Buyer as Service Credits to be deducted from the next Invoice payable by the Buyer</w:t>
            </w:r>
          </w:p>
        </w:tc>
      </w:tr>
      <w:tr w:rsidR="00D32AFE" w14:paraId="2F075578" w14:textId="77777777">
        <w:tc>
          <w:tcPr>
            <w:tcW w:w="4375" w:type="dxa"/>
          </w:tcPr>
          <w:p w14:paraId="220835B8" w14:textId="77777777" w:rsidR="00D32AFE" w:rsidRDefault="00145B13">
            <w:pPr>
              <w:ind w:left="567"/>
              <w:rPr>
                <w:rFonts w:ascii="Arial" w:eastAsia="Arial" w:hAnsi="Arial" w:cs="Arial"/>
                <w:sz w:val="24"/>
                <w:szCs w:val="24"/>
              </w:rPr>
            </w:pPr>
            <w:r>
              <w:rPr>
                <w:rFonts w:ascii="Arial" w:eastAsia="Arial" w:hAnsi="Arial" w:cs="Arial"/>
                <w:sz w:val="24"/>
                <w:szCs w:val="24"/>
              </w:rPr>
              <w:t xml:space="preserve">Worked example: 98% (e.g. Service Level Performance Measure requirement for accurate and timely billing Service Level) - 75% (e.g. actual performance achieved against this Service Level in a Service Period) </w:t>
            </w:r>
          </w:p>
          <w:p w14:paraId="300192DC" w14:textId="77777777" w:rsidR="00D32AFE" w:rsidRDefault="00D32AFE">
            <w:pPr>
              <w:ind w:left="567"/>
              <w:rPr>
                <w:rFonts w:ascii="Arial" w:eastAsia="Arial" w:hAnsi="Arial" w:cs="Arial"/>
                <w:sz w:val="24"/>
                <w:szCs w:val="24"/>
              </w:rPr>
            </w:pPr>
          </w:p>
        </w:tc>
        <w:tc>
          <w:tcPr>
            <w:tcW w:w="685" w:type="dxa"/>
          </w:tcPr>
          <w:p w14:paraId="476BD28B" w14:textId="77777777" w:rsidR="00D32AFE" w:rsidRDefault="00145B13">
            <w:pPr>
              <w:ind w:left="211"/>
              <w:rPr>
                <w:rFonts w:ascii="Arial" w:eastAsia="Arial" w:hAnsi="Arial" w:cs="Arial"/>
                <w:sz w:val="24"/>
                <w:szCs w:val="24"/>
              </w:rPr>
            </w:pPr>
            <w:r>
              <w:rPr>
                <w:rFonts w:ascii="Arial" w:eastAsia="Arial" w:hAnsi="Arial" w:cs="Arial"/>
                <w:sz w:val="24"/>
                <w:szCs w:val="24"/>
              </w:rPr>
              <w:t>=</w:t>
            </w:r>
          </w:p>
        </w:tc>
        <w:tc>
          <w:tcPr>
            <w:tcW w:w="3966" w:type="dxa"/>
          </w:tcPr>
          <w:p w14:paraId="0E79096C" w14:textId="77777777" w:rsidR="00D32AFE" w:rsidRDefault="00145B13">
            <w:pPr>
              <w:ind w:left="145"/>
              <w:rPr>
                <w:rFonts w:ascii="Arial" w:eastAsia="Arial" w:hAnsi="Arial" w:cs="Arial"/>
                <w:sz w:val="24"/>
                <w:szCs w:val="24"/>
              </w:rPr>
            </w:pPr>
            <w:r>
              <w:rPr>
                <w:rFonts w:ascii="Arial" w:eastAsia="Arial" w:hAnsi="Arial" w:cs="Arial"/>
                <w:sz w:val="24"/>
                <w:szCs w:val="24"/>
              </w:rPr>
              <w:t>23% of the Charges payable to the Buyer as Service Credits to be deducted from the next Invoice payable by the Buyer]</w:t>
            </w:r>
          </w:p>
          <w:p w14:paraId="546B2F6D" w14:textId="77777777" w:rsidR="00D32AFE" w:rsidRDefault="00D32AFE">
            <w:pPr>
              <w:ind w:left="145"/>
              <w:rPr>
                <w:rFonts w:ascii="Arial" w:eastAsia="Arial" w:hAnsi="Arial" w:cs="Arial"/>
                <w:sz w:val="24"/>
                <w:szCs w:val="24"/>
              </w:rPr>
            </w:pPr>
          </w:p>
        </w:tc>
      </w:tr>
    </w:tbl>
    <w:p w14:paraId="4766B383" w14:textId="77777777" w:rsidR="00D32AFE" w:rsidRDefault="00145B13">
      <w:pPr>
        <w:keepNext/>
        <w:pBdr>
          <w:top w:val="nil"/>
          <w:left w:val="nil"/>
          <w:bottom w:val="nil"/>
          <w:right w:val="nil"/>
          <w:between w:val="nil"/>
        </w:pBdr>
        <w:spacing w:after="240" w:line="240" w:lineRule="auto"/>
        <w:rPr>
          <w:rFonts w:ascii="Arial" w:eastAsia="Arial" w:hAnsi="Arial" w:cs="Arial"/>
          <w:b/>
          <w:color w:val="000000"/>
          <w:sz w:val="36"/>
          <w:szCs w:val="36"/>
        </w:rPr>
      </w:pPr>
      <w:r>
        <w:br w:type="page"/>
      </w:r>
      <w:r>
        <w:rPr>
          <w:rFonts w:ascii="Arial" w:eastAsia="Arial" w:hAnsi="Arial" w:cs="Arial"/>
          <w:b/>
          <w:color w:val="000000"/>
          <w:sz w:val="36"/>
          <w:szCs w:val="36"/>
        </w:rPr>
        <w:lastRenderedPageBreak/>
        <w:t xml:space="preserve">Part B: Performance Monitoring </w:t>
      </w:r>
    </w:p>
    <w:p w14:paraId="4A01770A" w14:textId="77777777" w:rsidR="00D32AFE" w:rsidRDefault="00145B13">
      <w:pPr>
        <w:numPr>
          <w:ilvl w:val="0"/>
          <w:numId w:val="4"/>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Performance Monitoring and Performance Review</w:t>
      </w:r>
    </w:p>
    <w:p w14:paraId="35409B4B" w14:textId="77777777" w:rsidR="00D32AFE" w:rsidRDefault="00145B13">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0A924BDD" w14:textId="77777777" w:rsidR="00D32AFE" w:rsidRDefault="00145B13">
      <w:pPr>
        <w:keepNext/>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the Buyer with performance monitoring reports ("</w:t>
      </w:r>
      <w:r>
        <w:rPr>
          <w:rFonts w:ascii="Arial" w:eastAsia="Arial" w:hAnsi="Arial" w:cs="Arial"/>
          <w:b/>
          <w:color w:val="000000"/>
          <w:sz w:val="24"/>
          <w:szCs w:val="24"/>
        </w:rPr>
        <w:t>Performance Monitoring Reports</w:t>
      </w:r>
      <w:r>
        <w:rPr>
          <w:rFonts w:ascii="Arial" w:eastAsia="Arial" w:hAnsi="Arial" w:cs="Arial"/>
          <w:color w:val="000000"/>
          <w:sz w:val="24"/>
          <w:szCs w:val="24"/>
        </w:rPr>
        <w:t>") in accordance with the process and timescales agreed pursuant to paragraph 1.1 of Part B of this Schedule which shall contain, as a minimum, the following information in respect of the relevant Service Period just ended:</w:t>
      </w:r>
    </w:p>
    <w:p w14:paraId="297518EE"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for each Service Level, the actual performance achieved over the Service Level for the relevant Service Period;</w:t>
      </w:r>
    </w:p>
    <w:p w14:paraId="0C4A2C6B"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a summary of all failures to achieve Service Levels that occurred during that Service Period;</w:t>
      </w:r>
    </w:p>
    <w:p w14:paraId="1496C311"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details of any Critical Service Level Failures;</w:t>
      </w:r>
    </w:p>
    <w:p w14:paraId="76C60D82"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for any repeat failures, actions taken to resolve the underlying cause and prevent recurrence;</w:t>
      </w:r>
    </w:p>
    <w:p w14:paraId="2701261F"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Service Credits to be applied in respect of the relevant period indicating the failures and Service Levels to which the Service Credits relate; and</w:t>
      </w:r>
    </w:p>
    <w:p w14:paraId="72202A55"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such other details as the Buyer may reasonably require from time to time.</w:t>
      </w:r>
    </w:p>
    <w:p w14:paraId="5704EC20" w14:textId="77777777" w:rsidR="00D32AFE" w:rsidRDefault="00145B13">
      <w:pPr>
        <w:keepNext/>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Parties shall attend meetings to discuss Performance Monitoring Reports ("</w:t>
      </w:r>
      <w:r>
        <w:rPr>
          <w:rFonts w:ascii="Arial" w:eastAsia="Arial" w:hAnsi="Arial" w:cs="Arial"/>
          <w:b/>
          <w:color w:val="000000"/>
          <w:sz w:val="24"/>
          <w:szCs w:val="24"/>
        </w:rPr>
        <w:t>Performance Review Meetings</w:t>
      </w:r>
      <w:r>
        <w:rPr>
          <w:rFonts w:ascii="Arial" w:eastAsia="Arial" w:hAnsi="Arial" w:cs="Arial"/>
          <w:color w:val="000000"/>
          <w:sz w:val="24"/>
          <w:szCs w:val="24"/>
        </w:rPr>
        <w:t>") on a Monthly basis. The Performance Review Meetings will be the forum for the review by the Supplier and the Buyer of the Performance Monitoring Reports.  The Performance Review Meetings shall:</w:t>
      </w:r>
    </w:p>
    <w:p w14:paraId="72E35B2B"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take place within one (1) week of the Performance Monitoring Reports being issued by the Supplier at such location and time (within normal business hours) as the Buyer shall reasonably require;</w:t>
      </w:r>
    </w:p>
    <w:p w14:paraId="172D6EC5"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be attended by the Supplier's Representative and the Buyer’s Representative; and</w:t>
      </w:r>
    </w:p>
    <w:p w14:paraId="44FF2FA4" w14:textId="77777777" w:rsidR="00D32AFE" w:rsidRDefault="00145B13">
      <w:pPr>
        <w:numPr>
          <w:ilvl w:val="2"/>
          <w:numId w:val="4"/>
        </w:numPr>
        <w:pBdr>
          <w:top w:val="nil"/>
          <w:left w:val="nil"/>
          <w:bottom w:val="nil"/>
          <w:right w:val="nil"/>
          <w:between w:val="nil"/>
        </w:pBdr>
        <w:spacing w:before="120" w:after="120" w:line="240" w:lineRule="auto"/>
      </w:pPr>
      <w:r>
        <w:rPr>
          <w:rFonts w:ascii="Arial" w:eastAsia="Arial" w:hAnsi="Arial" w:cs="Arial"/>
          <w:color w:val="000000"/>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0CD389A3" w14:textId="77777777" w:rsidR="00D32AFE" w:rsidRDefault="00145B13">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lastRenderedPageBreak/>
        <w:t>The minutes of the preceding Month's Performance Review Meeting will be agreed and signed by both the Supplier's Representative and the Buyer’s Representative at each meeting.</w:t>
      </w:r>
    </w:p>
    <w:p w14:paraId="2A53EAA3" w14:textId="77777777" w:rsidR="00D32AFE" w:rsidRDefault="00145B13">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705D406F" w14:textId="77777777" w:rsidR="00D32AFE" w:rsidRDefault="00D32AFE">
      <w:pPr>
        <w:pBdr>
          <w:top w:val="nil"/>
          <w:left w:val="nil"/>
          <w:bottom w:val="nil"/>
          <w:right w:val="nil"/>
          <w:between w:val="nil"/>
        </w:pBdr>
        <w:spacing w:before="120" w:after="120" w:line="240" w:lineRule="auto"/>
        <w:ind w:left="1440" w:hanging="576"/>
        <w:rPr>
          <w:rFonts w:ascii="Arial" w:eastAsia="Arial" w:hAnsi="Arial" w:cs="Arial"/>
          <w:color w:val="000000"/>
          <w:sz w:val="24"/>
          <w:szCs w:val="24"/>
        </w:rPr>
      </w:pPr>
    </w:p>
    <w:p w14:paraId="447DDEA1" w14:textId="77777777" w:rsidR="00D32AFE" w:rsidRDefault="00145B13">
      <w:pPr>
        <w:numPr>
          <w:ilvl w:val="0"/>
          <w:numId w:val="4"/>
        </w:numPr>
        <w:pBdr>
          <w:top w:val="nil"/>
          <w:left w:val="nil"/>
          <w:bottom w:val="nil"/>
          <w:right w:val="nil"/>
          <w:between w:val="nil"/>
        </w:pBdr>
        <w:tabs>
          <w:tab w:val="left" w:pos="142"/>
        </w:tabs>
        <w:spacing w:before="240" w:after="120" w:line="240" w:lineRule="auto"/>
      </w:pPr>
      <w:r>
        <w:rPr>
          <w:rFonts w:ascii="Arial" w:eastAsia="Arial" w:hAnsi="Arial" w:cs="Arial"/>
          <w:b/>
          <w:color w:val="000000"/>
          <w:sz w:val="24"/>
          <w:szCs w:val="24"/>
        </w:rPr>
        <w:t>Satisfaction Surveys</w:t>
      </w:r>
    </w:p>
    <w:p w14:paraId="2BD2AD84" w14:textId="77777777" w:rsidR="00D32AFE" w:rsidRDefault="00145B13">
      <w:pPr>
        <w:numPr>
          <w:ilvl w:val="1"/>
          <w:numId w:val="4"/>
        </w:numPr>
        <w:pBdr>
          <w:top w:val="nil"/>
          <w:left w:val="nil"/>
          <w:bottom w:val="nil"/>
          <w:right w:val="nil"/>
          <w:between w:val="nil"/>
        </w:pBdr>
        <w:spacing w:before="120" w:after="120" w:line="240" w:lineRule="auto"/>
      </w:pPr>
      <w:r>
        <w:rPr>
          <w:rFonts w:ascii="Arial" w:eastAsia="Arial" w:hAnsi="Arial" w:cs="Arial"/>
          <w:color w:val="000000"/>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4C57716D" w14:textId="77777777" w:rsidR="00D32AFE" w:rsidRDefault="00D32AFE">
      <w:pPr>
        <w:pBdr>
          <w:top w:val="nil"/>
          <w:left w:val="nil"/>
          <w:bottom w:val="nil"/>
          <w:right w:val="nil"/>
          <w:between w:val="nil"/>
        </w:pBdr>
        <w:spacing w:before="120" w:after="120" w:line="240" w:lineRule="auto"/>
        <w:ind w:left="936" w:hanging="576"/>
        <w:jc w:val="both"/>
        <w:rPr>
          <w:rFonts w:ascii="Arial" w:eastAsia="Arial" w:hAnsi="Arial" w:cs="Arial"/>
          <w:color w:val="000000"/>
          <w:sz w:val="24"/>
          <w:szCs w:val="24"/>
        </w:rPr>
      </w:pPr>
      <w:bookmarkStart w:id="1" w:name="_heading=h.30j0zll" w:colFirst="0" w:colLast="0"/>
      <w:bookmarkEnd w:id="1"/>
    </w:p>
    <w:sectPr w:rsidR="00D32AFE">
      <w:headerReference w:type="default" r:id="rId8"/>
      <w:footerReference w:type="default" r:id="rId9"/>
      <w:footerReference w:type="first" r:id="rId10"/>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3BC40B" w14:textId="77777777" w:rsidR="00B34EA4" w:rsidRDefault="00B34EA4">
      <w:pPr>
        <w:spacing w:after="0" w:line="240" w:lineRule="auto"/>
      </w:pPr>
      <w:r>
        <w:separator/>
      </w:r>
    </w:p>
  </w:endnote>
  <w:endnote w:type="continuationSeparator" w:id="0">
    <w:p w14:paraId="623F9DAF" w14:textId="77777777" w:rsidR="00B34EA4" w:rsidRDefault="00B34EA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B2795F" w14:textId="77777777" w:rsidR="00D32AFE" w:rsidRDefault="00D32AFE">
    <w:pPr>
      <w:tabs>
        <w:tab w:val="center" w:pos="4513"/>
        <w:tab w:val="right" w:pos="9026"/>
      </w:tabs>
      <w:spacing w:after="0" w:line="240" w:lineRule="auto"/>
      <w:jc w:val="both"/>
    </w:pPr>
  </w:p>
  <w:p w14:paraId="73E72F17" w14:textId="77777777" w:rsidR="00D32AFE" w:rsidRDefault="001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RM6098</w:t>
    </w:r>
  </w:p>
  <w:p w14:paraId="07066FAF" w14:textId="77777777" w:rsidR="00D32AFE" w:rsidRDefault="001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22640B">
      <w:rPr>
        <w:rFonts w:ascii="Arial" w:eastAsia="Arial" w:hAnsi="Arial" w:cs="Arial"/>
        <w:noProof/>
        <w:color w:val="000000"/>
        <w:sz w:val="20"/>
        <w:szCs w:val="20"/>
      </w:rPr>
      <w:t>1</w:t>
    </w:r>
    <w:r>
      <w:rPr>
        <w:rFonts w:ascii="Arial" w:eastAsia="Arial" w:hAnsi="Arial" w:cs="Arial"/>
        <w:color w:val="000000"/>
        <w:sz w:val="20"/>
        <w:szCs w:val="20"/>
      </w:rPr>
      <w:fldChar w:fldCharType="end"/>
    </w:r>
  </w:p>
  <w:p w14:paraId="1CF73676" w14:textId="77777777" w:rsidR="00D32AFE" w:rsidRDefault="001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 xml:space="preserve">Model Version: v3.2 </w:t>
    </w:r>
    <w:r>
      <w:rPr>
        <w:rFonts w:ascii="Arial" w:eastAsia="Arial" w:hAnsi="Arial" w:cs="Arial"/>
        <w:sz w:val="20"/>
        <w:szCs w:val="20"/>
      </w:rPr>
      <w:t>fix</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D7E14" w14:textId="77777777" w:rsidR="00D32AFE" w:rsidRDefault="00D32AFE">
    <w:pPr>
      <w:tabs>
        <w:tab w:val="center" w:pos="4513"/>
        <w:tab w:val="right" w:pos="9026"/>
      </w:tabs>
      <w:spacing w:after="0" w:line="240" w:lineRule="auto"/>
      <w:jc w:val="both"/>
    </w:pPr>
  </w:p>
  <w:p w14:paraId="519A89E6" w14:textId="77777777" w:rsidR="00D32AFE" w:rsidRDefault="001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Framework Ref: RM</w:t>
    </w:r>
    <w:r>
      <w:rPr>
        <w:rFonts w:ascii="Arial" w:eastAsia="Arial" w:hAnsi="Arial" w:cs="Arial"/>
        <w:color w:val="000000"/>
        <w:sz w:val="20"/>
        <w:szCs w:val="20"/>
      </w:rPr>
      <w:tab/>
      <w:t xml:space="preserve">                                           </w:t>
    </w:r>
  </w:p>
  <w:p w14:paraId="30A92515" w14:textId="77777777" w:rsidR="00D32AFE" w:rsidRDefault="001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tab/>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sidR="00B34EA4">
      <w:rPr>
        <w:rFonts w:ascii="Arial" w:eastAsia="Arial" w:hAnsi="Arial" w:cs="Arial"/>
        <w:color w:val="000000"/>
        <w:sz w:val="20"/>
        <w:szCs w:val="20"/>
      </w:rPr>
      <w:fldChar w:fldCharType="separate"/>
    </w:r>
    <w:r>
      <w:rPr>
        <w:rFonts w:ascii="Arial" w:eastAsia="Arial" w:hAnsi="Arial" w:cs="Arial"/>
        <w:color w:val="000000"/>
        <w:sz w:val="20"/>
        <w:szCs w:val="20"/>
      </w:rPr>
      <w:fldChar w:fldCharType="end"/>
    </w:r>
  </w:p>
  <w:p w14:paraId="64005903" w14:textId="77777777" w:rsidR="00D32AFE" w:rsidRDefault="00145B13">
    <w:pPr>
      <w:pBdr>
        <w:top w:val="nil"/>
        <w:left w:val="nil"/>
        <w:bottom w:val="nil"/>
        <w:right w:val="nil"/>
        <w:between w:val="nil"/>
      </w:pBdr>
      <w:tabs>
        <w:tab w:val="center" w:pos="4513"/>
        <w:tab w:val="right" w:pos="9026"/>
      </w:tabs>
      <w:spacing w:after="0" w:line="240" w:lineRule="auto"/>
      <w:rPr>
        <w:color w:val="000000"/>
      </w:rPr>
    </w:pPr>
    <w:r>
      <w:rPr>
        <w:rFonts w:ascii="Arial" w:eastAsia="Arial" w:hAnsi="Arial" w:cs="Arial"/>
        <w:color w:val="000000"/>
        <w:sz w:val="20"/>
        <w:szCs w:val="20"/>
      </w:rPr>
      <w:t xml:space="preserve">Model </w:t>
    </w:r>
    <w:proofErr w:type="gramStart"/>
    <w:r>
      <w:rPr>
        <w:rFonts w:ascii="Arial" w:eastAsia="Arial" w:hAnsi="Arial" w:cs="Arial"/>
        <w:color w:val="000000"/>
        <w:sz w:val="20"/>
        <w:szCs w:val="20"/>
      </w:rPr>
      <w:t>Version :</w:t>
    </w:r>
    <w:proofErr w:type="gramEnd"/>
    <w:r>
      <w:rPr>
        <w:rFonts w:ascii="Arial" w:eastAsia="Arial" w:hAnsi="Arial" w:cs="Arial"/>
        <w:color w:val="000000"/>
        <w:sz w:val="20"/>
        <w:szCs w:val="20"/>
      </w:rPr>
      <w:t xml:space="preserve"> v2.9</w:t>
    </w:r>
    <w:r>
      <w:rPr>
        <w:rFonts w:ascii="Arial" w:eastAsia="Arial" w:hAnsi="Arial" w:cs="Arial"/>
        <w:color w:val="000000"/>
        <w:sz w:val="20"/>
        <w:szCs w:val="20"/>
      </w:rPr>
      <w:tab/>
    </w:r>
    <w:r>
      <w:rPr>
        <w:rFonts w:ascii="Arial" w:eastAsia="Arial" w:hAnsi="Arial" w:cs="Arial"/>
        <w:color w:val="000000"/>
        <w:sz w:val="20"/>
        <w:szCs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36DB35" w14:textId="77777777" w:rsidR="00B34EA4" w:rsidRDefault="00B34EA4">
      <w:pPr>
        <w:spacing w:after="0" w:line="240" w:lineRule="auto"/>
      </w:pPr>
      <w:r>
        <w:separator/>
      </w:r>
    </w:p>
  </w:footnote>
  <w:footnote w:type="continuationSeparator" w:id="0">
    <w:p w14:paraId="7B2E1728" w14:textId="77777777" w:rsidR="00B34EA4" w:rsidRDefault="00B34EA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88E355" w14:textId="77777777" w:rsidR="00D32AFE" w:rsidRDefault="001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b/>
        <w:color w:val="000000"/>
        <w:sz w:val="20"/>
        <w:szCs w:val="20"/>
      </w:rPr>
      <w:t>Call-Off Schedule 14 (Service Levels)</w:t>
    </w:r>
  </w:p>
  <w:p w14:paraId="7985FF07" w14:textId="77777777" w:rsidR="00D32AFE" w:rsidRDefault="001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Call-Off Ref:</w:t>
    </w:r>
  </w:p>
  <w:p w14:paraId="2495B6DE" w14:textId="77777777" w:rsidR="00D32AFE" w:rsidRDefault="00145B13">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Crown Copyright 2018</w:t>
    </w:r>
  </w:p>
  <w:p w14:paraId="1E9517ED" w14:textId="77777777" w:rsidR="00D32AFE" w:rsidRDefault="00D32AFE">
    <w:pPr>
      <w:pBdr>
        <w:top w:val="nil"/>
        <w:left w:val="nil"/>
        <w:bottom w:val="nil"/>
        <w:right w:val="nil"/>
        <w:between w:val="nil"/>
      </w:pBdr>
      <w:tabs>
        <w:tab w:val="center" w:pos="4513"/>
        <w:tab w:val="right" w:pos="9026"/>
      </w:tabs>
      <w:spacing w:after="0"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BB6E96"/>
    <w:multiLevelType w:val="multilevel"/>
    <w:tmpl w:val="6376158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1" w15:restartNumberingAfterBreak="0">
    <w:nsid w:val="2E175C2D"/>
    <w:multiLevelType w:val="multilevel"/>
    <w:tmpl w:val="FC54A710"/>
    <w:lvl w:ilvl="0">
      <w:start w:val="1"/>
      <w:numFmt w:val="decimal"/>
      <w:lvlText w:val="%1."/>
      <w:lvlJc w:val="left"/>
      <w:pPr>
        <w:ind w:left="720" w:hanging="720"/>
      </w:pPr>
      <w:rPr>
        <w:rFonts w:ascii="Calibri" w:eastAsia="Calibri" w:hAnsi="Calibri" w:cs="Calibri"/>
        <w:b/>
        <w:i w:val="0"/>
        <w:smallCaps w:val="0"/>
        <w:strike w:val="0"/>
        <w:color w:val="000000"/>
        <w:sz w:val="22"/>
        <w:szCs w:val="22"/>
        <w:u w:val="none"/>
        <w:vertAlign w:val="baseline"/>
      </w:rPr>
    </w:lvl>
    <w:lvl w:ilvl="1">
      <w:start w:val="1"/>
      <w:numFmt w:val="lowerLetter"/>
      <w:lvlText w:val="%2)"/>
      <w:lvlJc w:val="left"/>
      <w:pPr>
        <w:ind w:left="1440" w:hanging="720"/>
      </w:pPr>
      <w:rPr>
        <w:b w:val="0"/>
        <w:i w:val="0"/>
        <w:smallCaps w:val="0"/>
        <w:strike w:val="0"/>
        <w:color w:val="000000"/>
        <w:sz w:val="22"/>
        <w:szCs w:val="22"/>
        <w:u w:val="none"/>
        <w:vertAlign w:val="baseline"/>
      </w:rPr>
    </w:lvl>
    <w:lvl w:ilvl="2">
      <w:start w:val="1"/>
      <w:numFmt w:val="decimal"/>
      <w:lvlText w:val="%1.2.%3"/>
      <w:lvlJc w:val="left"/>
      <w:pPr>
        <w:ind w:left="2160"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2" w15:restartNumberingAfterBreak="0">
    <w:nsid w:val="428656BD"/>
    <w:multiLevelType w:val="multilevel"/>
    <w:tmpl w:val="B4BC0746"/>
    <w:lvl w:ilvl="0">
      <w:start w:val="1"/>
      <w:numFmt w:val="decimal"/>
      <w:lvlText w:val="%1"/>
      <w:lvlJc w:val="left"/>
      <w:pPr>
        <w:ind w:left="170" w:hanging="170"/>
      </w:pPr>
      <w:rPr>
        <w:rFonts w:ascii="Arial" w:eastAsia="Arial" w:hAnsi="Arial" w:cs="Arial"/>
        <w:sz w:val="22"/>
        <w:szCs w:val="22"/>
      </w:rPr>
    </w:lvl>
    <w:lvl w:ilvl="1">
      <w:start w:val="1"/>
      <w:numFmt w:val="lowerLetter"/>
      <w:lvlText w:val="%2)"/>
      <w:lvlJc w:val="left"/>
      <w:pPr>
        <w:ind w:left="720" w:hanging="360"/>
      </w:pPr>
      <w:rPr>
        <w:rFonts w:ascii="Calibri" w:eastAsia="Calibri" w:hAnsi="Calibri" w:cs="Calibri"/>
        <w:b w:val="0"/>
        <w:i w:val="0"/>
        <w:smallCaps w:val="0"/>
        <w:strike w:val="0"/>
        <w:color w:val="000000"/>
        <w:u w:val="none"/>
        <w:vertAlign w:val="baseline"/>
      </w:rPr>
    </w:lvl>
    <w:lvl w:ilvl="2">
      <w:start w:val="1"/>
      <w:numFmt w:val="lowerRoman"/>
      <w:lvlText w:val="%3)"/>
      <w:lvlJc w:val="left"/>
      <w:pPr>
        <w:ind w:left="1080" w:hanging="360"/>
      </w:pPr>
      <w:rPr>
        <w:rFonts w:ascii="Arial" w:eastAsia="Arial" w:hAnsi="Arial" w:cs="Arial"/>
        <w:sz w:val="22"/>
        <w:szCs w:val="22"/>
      </w:r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494D5618"/>
    <w:multiLevelType w:val="multilevel"/>
    <w:tmpl w:val="1CE24B3A"/>
    <w:lvl w:ilvl="0">
      <w:start w:val="1"/>
      <w:numFmt w:val="decimal"/>
      <w:lvlText w:val="%1."/>
      <w:lvlJc w:val="left"/>
      <w:pPr>
        <w:ind w:left="720" w:hanging="72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1440" w:hanging="720"/>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160" w:hanging="720"/>
      </w:pPr>
      <w:rPr>
        <w:rFonts w:ascii="Calibri" w:eastAsia="Calibri" w:hAnsi="Calibri" w:cs="Calibri"/>
        <w:b w:val="0"/>
        <w:i w:val="0"/>
        <w:smallCaps w:val="0"/>
        <w:strike w:val="0"/>
        <w:color w:val="000000"/>
        <w:sz w:val="22"/>
        <w:szCs w:val="22"/>
        <w:u w:val="none"/>
        <w:vertAlign w:val="baseline"/>
      </w:rPr>
    </w:lvl>
    <w:lvl w:ilvl="3">
      <w:start w:val="1"/>
      <w:numFmt w:val="lowerLetter"/>
      <w:lvlText w:val="(%4)"/>
      <w:lvlJc w:val="left"/>
      <w:pPr>
        <w:ind w:left="2880"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3600" w:hanging="72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 w15:restartNumberingAfterBreak="0">
    <w:nsid w:val="73B360A6"/>
    <w:multiLevelType w:val="hybridMultilevel"/>
    <w:tmpl w:val="1878261C"/>
    <w:lvl w:ilvl="0" w:tplc="08090001">
      <w:start w:val="1"/>
      <w:numFmt w:val="bullet"/>
      <w:lvlText w:val=""/>
      <w:lvlJc w:val="left"/>
      <w:pPr>
        <w:ind w:left="815" w:hanging="360"/>
      </w:pPr>
      <w:rPr>
        <w:rFonts w:ascii="Symbol" w:hAnsi="Symbol" w:hint="default"/>
      </w:rPr>
    </w:lvl>
    <w:lvl w:ilvl="1" w:tplc="08090003" w:tentative="1">
      <w:start w:val="1"/>
      <w:numFmt w:val="bullet"/>
      <w:lvlText w:val="o"/>
      <w:lvlJc w:val="left"/>
      <w:pPr>
        <w:ind w:left="1535" w:hanging="360"/>
      </w:pPr>
      <w:rPr>
        <w:rFonts w:ascii="Courier New" w:hAnsi="Courier New" w:cs="Courier New" w:hint="default"/>
      </w:rPr>
    </w:lvl>
    <w:lvl w:ilvl="2" w:tplc="08090005" w:tentative="1">
      <w:start w:val="1"/>
      <w:numFmt w:val="bullet"/>
      <w:lvlText w:val=""/>
      <w:lvlJc w:val="left"/>
      <w:pPr>
        <w:ind w:left="2255" w:hanging="360"/>
      </w:pPr>
      <w:rPr>
        <w:rFonts w:ascii="Wingdings" w:hAnsi="Wingdings" w:hint="default"/>
      </w:rPr>
    </w:lvl>
    <w:lvl w:ilvl="3" w:tplc="08090001" w:tentative="1">
      <w:start w:val="1"/>
      <w:numFmt w:val="bullet"/>
      <w:lvlText w:val=""/>
      <w:lvlJc w:val="left"/>
      <w:pPr>
        <w:ind w:left="2975" w:hanging="360"/>
      </w:pPr>
      <w:rPr>
        <w:rFonts w:ascii="Symbol" w:hAnsi="Symbol" w:hint="default"/>
      </w:rPr>
    </w:lvl>
    <w:lvl w:ilvl="4" w:tplc="08090003" w:tentative="1">
      <w:start w:val="1"/>
      <w:numFmt w:val="bullet"/>
      <w:lvlText w:val="o"/>
      <w:lvlJc w:val="left"/>
      <w:pPr>
        <w:ind w:left="3695" w:hanging="360"/>
      </w:pPr>
      <w:rPr>
        <w:rFonts w:ascii="Courier New" w:hAnsi="Courier New" w:cs="Courier New" w:hint="default"/>
      </w:rPr>
    </w:lvl>
    <w:lvl w:ilvl="5" w:tplc="08090005" w:tentative="1">
      <w:start w:val="1"/>
      <w:numFmt w:val="bullet"/>
      <w:lvlText w:val=""/>
      <w:lvlJc w:val="left"/>
      <w:pPr>
        <w:ind w:left="4415" w:hanging="360"/>
      </w:pPr>
      <w:rPr>
        <w:rFonts w:ascii="Wingdings" w:hAnsi="Wingdings" w:hint="default"/>
      </w:rPr>
    </w:lvl>
    <w:lvl w:ilvl="6" w:tplc="08090001" w:tentative="1">
      <w:start w:val="1"/>
      <w:numFmt w:val="bullet"/>
      <w:lvlText w:val=""/>
      <w:lvlJc w:val="left"/>
      <w:pPr>
        <w:ind w:left="5135" w:hanging="360"/>
      </w:pPr>
      <w:rPr>
        <w:rFonts w:ascii="Symbol" w:hAnsi="Symbol" w:hint="default"/>
      </w:rPr>
    </w:lvl>
    <w:lvl w:ilvl="7" w:tplc="08090003" w:tentative="1">
      <w:start w:val="1"/>
      <w:numFmt w:val="bullet"/>
      <w:lvlText w:val="o"/>
      <w:lvlJc w:val="left"/>
      <w:pPr>
        <w:ind w:left="5855" w:hanging="360"/>
      </w:pPr>
      <w:rPr>
        <w:rFonts w:ascii="Courier New" w:hAnsi="Courier New" w:cs="Courier New" w:hint="default"/>
      </w:rPr>
    </w:lvl>
    <w:lvl w:ilvl="8" w:tplc="08090005" w:tentative="1">
      <w:start w:val="1"/>
      <w:numFmt w:val="bullet"/>
      <w:lvlText w:val=""/>
      <w:lvlJc w:val="left"/>
      <w:pPr>
        <w:ind w:left="6575" w:hanging="360"/>
      </w:pPr>
      <w:rPr>
        <w:rFonts w:ascii="Wingdings" w:hAnsi="Wingdings" w:hint="default"/>
      </w:rPr>
    </w:lvl>
  </w:abstractNum>
  <w:num w:numId="1">
    <w:abstractNumId w:val="1"/>
  </w:num>
  <w:num w:numId="2">
    <w:abstractNumId w:val="0"/>
  </w:num>
  <w:num w:numId="3">
    <w:abstractNumId w:val="2"/>
  </w:num>
  <w:num w:numId="4">
    <w:abstractNumId w:val="3"/>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2AFE"/>
    <w:rsid w:val="00053F59"/>
    <w:rsid w:val="00145B13"/>
    <w:rsid w:val="00176190"/>
    <w:rsid w:val="0022640B"/>
    <w:rsid w:val="0025686F"/>
    <w:rsid w:val="002A4B0A"/>
    <w:rsid w:val="002D665D"/>
    <w:rsid w:val="00556F73"/>
    <w:rsid w:val="00656417"/>
    <w:rsid w:val="007F6BD7"/>
    <w:rsid w:val="00866279"/>
    <w:rsid w:val="008D0017"/>
    <w:rsid w:val="009D1324"/>
    <w:rsid w:val="00A63D69"/>
    <w:rsid w:val="00B34EA4"/>
    <w:rsid w:val="00D32AFE"/>
    <w:rsid w:val="00DA0275"/>
    <w:rsid w:val="00F04E47"/>
    <w:rsid w:val="00F30619"/>
    <w:rsid w:val="00F56642"/>
    <w:rsid w:val="00F7634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49162B"/>
  <w15:docId w15:val="{BCB5D674-E152-4171-BB51-E56E383111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0"/>
      <w:outlineLvl w:val="0"/>
    </w:pPr>
    <w:rPr>
      <w:rFonts w:ascii="Cambria" w:eastAsia="Cambria" w:hAnsi="Cambria" w:cs="Cambria"/>
      <w:b/>
      <w:color w:val="366091"/>
      <w:sz w:val="28"/>
      <w:szCs w:val="28"/>
    </w:rPr>
  </w:style>
  <w:style w:type="paragraph" w:styleId="Heading2">
    <w:name w:val="heading 2"/>
    <w:basedOn w:val="Normal"/>
    <w:next w:val="Normal"/>
    <w:uiPriority w:val="9"/>
    <w:semiHidden/>
    <w:unhideWhenUsed/>
    <w:qFormat/>
    <w:pPr>
      <w:keepNext/>
      <w:keepLines/>
      <w:spacing w:before="200" w:after="0"/>
      <w:outlineLvl w:val="1"/>
    </w:pPr>
    <w:rPr>
      <w:rFonts w:ascii="Cambria" w:eastAsia="Cambria" w:hAnsi="Cambria" w:cs="Cambria"/>
      <w:b/>
      <w:color w:val="4F81BD"/>
      <w:sz w:val="26"/>
      <w:szCs w:val="2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character" w:customStyle="1" w:styleId="ui-provider">
    <w:name w:val="ui-provider"/>
    <w:basedOn w:val="DefaultParagraphFont"/>
    <w:rsid w:val="00397E79"/>
  </w:style>
  <w:style w:type="character" w:styleId="CommentReference">
    <w:name w:val="annotation reference"/>
    <w:basedOn w:val="DefaultParagraphFont"/>
    <w:uiPriority w:val="99"/>
    <w:semiHidden/>
    <w:unhideWhenUsed/>
    <w:rsid w:val="00B357CD"/>
    <w:rPr>
      <w:sz w:val="16"/>
      <w:szCs w:val="16"/>
    </w:rPr>
  </w:style>
  <w:style w:type="paragraph" w:styleId="CommentText">
    <w:name w:val="annotation text"/>
    <w:basedOn w:val="Normal"/>
    <w:link w:val="CommentTextChar"/>
    <w:uiPriority w:val="99"/>
    <w:unhideWhenUsed/>
    <w:rsid w:val="00B357CD"/>
    <w:pPr>
      <w:spacing w:line="240" w:lineRule="auto"/>
    </w:pPr>
    <w:rPr>
      <w:sz w:val="20"/>
      <w:szCs w:val="20"/>
    </w:rPr>
  </w:style>
  <w:style w:type="character" w:customStyle="1" w:styleId="CommentTextChar">
    <w:name w:val="Comment Text Char"/>
    <w:basedOn w:val="DefaultParagraphFont"/>
    <w:link w:val="CommentText"/>
    <w:uiPriority w:val="99"/>
    <w:rsid w:val="00B357CD"/>
    <w:rPr>
      <w:sz w:val="20"/>
      <w:szCs w:val="20"/>
    </w:rPr>
  </w:style>
  <w:style w:type="paragraph" w:styleId="CommentSubject">
    <w:name w:val="annotation subject"/>
    <w:basedOn w:val="CommentText"/>
    <w:next w:val="CommentText"/>
    <w:link w:val="CommentSubjectChar"/>
    <w:uiPriority w:val="99"/>
    <w:semiHidden/>
    <w:unhideWhenUsed/>
    <w:rsid w:val="00B357CD"/>
    <w:rPr>
      <w:b/>
      <w:bCs/>
    </w:rPr>
  </w:style>
  <w:style w:type="character" w:customStyle="1" w:styleId="CommentSubjectChar">
    <w:name w:val="Comment Subject Char"/>
    <w:basedOn w:val="CommentTextChar"/>
    <w:link w:val="CommentSubject"/>
    <w:uiPriority w:val="99"/>
    <w:semiHidden/>
    <w:rsid w:val="00B357CD"/>
    <w:rPr>
      <w:b/>
      <w:bCs/>
      <w:sz w:val="20"/>
      <w:szCs w:val="20"/>
    </w:r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paragraph" w:styleId="Revision">
    <w:name w:val="Revision"/>
    <w:hidden/>
    <w:uiPriority w:val="99"/>
    <w:semiHidden/>
    <w:rsid w:val="00866279"/>
    <w:pPr>
      <w:spacing w:after="0" w:line="240" w:lineRule="auto"/>
    </w:pPr>
  </w:style>
  <w:style w:type="paragraph" w:styleId="ListParagraph">
    <w:name w:val="List Paragraph"/>
    <w:basedOn w:val="Normal"/>
    <w:uiPriority w:val="34"/>
    <w:qFormat/>
    <w:rsid w:val="0086627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o1+ub9ciz4hccAZsiPYtsu2Ok3g==">CgMxLjAyCGguZ2pkZ3hzMgloLjMwajB6bGw4AHIhMWQwMVJzOUE5OEhQcHJCVGhDbzdPc0N3cW9LQkdLdEZn</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1685</Words>
  <Characters>9610</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Crown Prosecution Service</Company>
  <LinksUpToDate>false</LinksUpToDate>
  <CharactersWithSpaces>11273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Adrianne Griffiths</dc:creator>
  <cp:lastModifiedBy>Hannah Edwards</cp:lastModifiedBy>
  <cp:revision>2</cp:revision>
  <dcterms:created xsi:type="dcterms:W3CDTF">2025-03-26T14:08:00Z</dcterms:created>
  <dcterms:modified xsi:type="dcterms:W3CDTF">2025-03-26T14:08:00Z</dcterms:modified>
</cp:coreProperties>
</file>